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640"/>
        </w:tabs>
      </w:pPr>
      <w:bookmarkStart w:id="19" w:name="_GoBack"/>
      <w:bookmarkEnd w:id="19"/>
      <w:r>
        <w:t>目</w:t>
      </w:r>
      <w:r>
        <w:tab/>
      </w:r>
      <w:r>
        <w:t>次</w:t>
      </w:r>
    </w:p>
    <w:p>
      <w:pPr>
        <w:pStyle w:val="4"/>
        <w:rPr>
          <w:rFonts w:ascii="黑体"/>
          <w:sz w:val="32"/>
        </w:rPr>
      </w:pPr>
    </w:p>
    <w:p>
      <w:pPr>
        <w:pStyle w:val="4"/>
        <w:spacing w:before="11"/>
        <w:rPr>
          <w:rFonts w:ascii="黑体"/>
          <w:sz w:val="27"/>
        </w:rPr>
      </w:pPr>
    </w:p>
    <w:p>
      <w:pPr>
        <w:pStyle w:val="4"/>
        <w:spacing w:line="345" w:lineRule="auto"/>
        <w:ind w:left="520" w:right="913"/>
        <w:rPr>
          <w:rFonts w:hint="eastAsia" w:ascii="Arial Unicode MS" w:eastAsia="Arial Unicode MS"/>
        </w:rPr>
      </w:pPr>
      <w:r>
        <w:rPr>
          <w:rFonts w:hint="eastAsia" w:ascii="Arial Unicode MS" w:eastAsia="Arial Unicode MS"/>
          <w:w w:val="95"/>
        </w:rPr>
        <w:t>前言</w:t>
      </w:r>
      <w:r>
        <w:rPr>
          <w:w w:val="95"/>
        </w:rPr>
        <w:t>﹍﹍﹍﹍﹍﹍﹍﹍﹍﹍﹍﹍﹍﹍﹍﹍﹍﹍﹍﹍﹍﹍﹍﹍﹍﹍﹍﹍﹍﹍</w:t>
      </w:r>
      <w:r>
        <w:rPr>
          <w:rFonts w:hint="eastAsia" w:ascii="Arial Unicode MS" w:eastAsia="Arial Unicode MS"/>
          <w:spacing w:val="-10"/>
          <w:w w:val="95"/>
        </w:rPr>
        <w:t xml:space="preserve">01      </w:t>
      </w:r>
      <w:r>
        <w:rPr>
          <w:rFonts w:hint="eastAsia" w:ascii="Arial Unicode MS" w:eastAsia="Arial Unicode MS"/>
        </w:rPr>
        <w:t>1</w:t>
      </w:r>
      <w:r>
        <w:rPr>
          <w:rFonts w:hint="eastAsia" w:ascii="Arial Unicode MS" w:eastAsia="Arial Unicode MS"/>
          <w:spacing w:val="3"/>
        </w:rPr>
        <w:t xml:space="preserve"> 范围</w:t>
      </w:r>
      <w:r>
        <w:t>﹍﹍﹍﹍﹍﹍﹍﹍﹍﹍﹍﹍﹍﹍﹍﹍﹍﹍﹍﹍﹍﹍﹍﹍﹍﹍﹍﹍﹍</w:t>
      </w:r>
      <w:r>
        <w:rPr>
          <w:rFonts w:hint="eastAsia" w:ascii="Arial Unicode MS" w:eastAsia="Arial Unicode MS"/>
          <w:spacing w:val="-9"/>
        </w:rPr>
        <w:t>02</w:t>
      </w:r>
    </w:p>
    <w:p>
      <w:pPr>
        <w:pStyle w:val="8"/>
        <w:numPr>
          <w:ilvl w:val="0"/>
          <w:numId w:val="1"/>
        </w:numPr>
        <w:tabs>
          <w:tab w:val="left" w:pos="758"/>
        </w:tabs>
        <w:spacing w:before="0" w:after="0" w:line="415" w:lineRule="exact"/>
        <w:ind w:left="757" w:right="0" w:hanging="238"/>
        <w:jc w:val="left"/>
        <w:rPr>
          <w:rFonts w:hint="eastAsia" w:ascii="Arial Unicode MS" w:eastAsia="Arial Unicode MS"/>
          <w:sz w:val="24"/>
        </w:rPr>
      </w:pPr>
      <w:r>
        <w:rPr>
          <w:rFonts w:hint="eastAsia" w:ascii="Arial Unicode MS" w:eastAsia="Arial Unicode MS"/>
          <w:spacing w:val="-1"/>
          <w:w w:val="95"/>
          <w:sz w:val="24"/>
        </w:rPr>
        <w:t>规范性引用文件</w:t>
      </w:r>
      <w:r>
        <w:rPr>
          <w:w w:val="95"/>
          <w:sz w:val="24"/>
        </w:rPr>
        <w:t>﹍﹍﹍﹍﹍﹍﹍﹍﹍﹍﹍﹍﹍﹍﹍﹍﹍﹍﹍﹍﹍﹍﹍﹍</w:t>
      </w:r>
      <w:r>
        <w:rPr>
          <w:rFonts w:hint="eastAsia" w:ascii="Arial Unicode MS" w:eastAsia="Arial Unicode MS"/>
          <w:w w:val="95"/>
          <w:sz w:val="24"/>
        </w:rPr>
        <w:t>02</w:t>
      </w:r>
    </w:p>
    <w:p>
      <w:pPr>
        <w:pStyle w:val="8"/>
        <w:numPr>
          <w:ilvl w:val="0"/>
          <w:numId w:val="1"/>
        </w:numPr>
        <w:tabs>
          <w:tab w:val="left" w:pos="760"/>
        </w:tabs>
        <w:spacing w:before="182" w:after="0" w:line="240" w:lineRule="auto"/>
        <w:ind w:left="760" w:right="0" w:hanging="240"/>
        <w:jc w:val="left"/>
        <w:rPr>
          <w:rFonts w:hint="eastAsia" w:ascii="Arial Unicode MS" w:eastAsia="Arial Unicode MS"/>
          <w:sz w:val="24"/>
        </w:rPr>
      </w:pPr>
      <w:r>
        <w:rPr>
          <w:rFonts w:hint="eastAsia" w:ascii="Arial Unicode MS" w:eastAsia="Arial Unicode MS"/>
          <w:spacing w:val="-1"/>
          <w:w w:val="95"/>
          <w:sz w:val="24"/>
        </w:rPr>
        <w:t>术语和定义</w:t>
      </w:r>
      <w:r>
        <w:rPr>
          <w:w w:val="95"/>
          <w:sz w:val="24"/>
        </w:rPr>
        <w:t>﹍﹍﹍﹍﹍﹍﹍﹍﹍﹍﹍﹍﹍﹍﹍﹍﹍﹍﹍﹍﹍﹍﹍﹍﹍﹍</w:t>
      </w:r>
      <w:r>
        <w:rPr>
          <w:rFonts w:hint="eastAsia" w:ascii="Arial Unicode MS" w:eastAsia="Arial Unicode MS"/>
          <w:w w:val="95"/>
          <w:sz w:val="24"/>
        </w:rPr>
        <w:t>04</w:t>
      </w:r>
    </w:p>
    <w:p>
      <w:pPr>
        <w:pStyle w:val="8"/>
        <w:numPr>
          <w:ilvl w:val="0"/>
          <w:numId w:val="1"/>
        </w:numPr>
        <w:tabs>
          <w:tab w:val="left" w:pos="770"/>
        </w:tabs>
        <w:spacing w:before="183" w:after="0" w:line="345" w:lineRule="auto"/>
        <w:ind w:left="520" w:right="889" w:firstLine="0"/>
        <w:jc w:val="both"/>
        <w:rPr>
          <w:rFonts w:hint="eastAsia" w:ascii="Arial Unicode MS" w:eastAsia="Arial Unicode MS"/>
          <w:sz w:val="24"/>
        </w:rPr>
      </w:pPr>
      <w:r>
        <w:rPr>
          <w:rFonts w:hint="eastAsia" w:ascii="Arial Unicode MS" w:eastAsia="Arial Unicode MS"/>
          <w:w w:val="95"/>
          <w:sz w:val="24"/>
        </w:rPr>
        <w:t>适用院校专业</w:t>
      </w:r>
      <w:r>
        <w:rPr>
          <w:w w:val="95"/>
          <w:sz w:val="24"/>
        </w:rPr>
        <w:t>﹍﹍﹍﹍﹍﹍﹍﹍﹍﹍﹍﹍﹍﹍﹍﹍﹍﹍﹍﹍﹍﹍﹍﹍﹍</w:t>
      </w:r>
      <w:r>
        <w:rPr>
          <w:rFonts w:hint="eastAsia" w:ascii="Arial Unicode MS" w:eastAsia="Arial Unicode MS"/>
          <w:spacing w:val="-9"/>
          <w:w w:val="95"/>
          <w:sz w:val="24"/>
        </w:rPr>
        <w:t xml:space="preserve">04      </w:t>
      </w:r>
      <w:r>
        <w:rPr>
          <w:rFonts w:hint="eastAsia" w:ascii="Arial Unicode MS" w:eastAsia="Arial Unicode MS"/>
          <w:sz w:val="24"/>
        </w:rPr>
        <w:t>5 面向职业岗位（群）</w:t>
      </w:r>
      <w:r>
        <w:rPr>
          <w:sz w:val="24"/>
        </w:rPr>
        <w:t>﹍﹍﹍﹍﹍﹍﹍﹍﹍﹍﹍﹍﹍﹍﹍﹍﹍﹍﹍﹍﹍﹍</w:t>
      </w:r>
      <w:r>
        <w:rPr>
          <w:rFonts w:hint="eastAsia" w:ascii="Arial Unicode MS" w:eastAsia="Arial Unicode MS"/>
          <w:sz w:val="24"/>
        </w:rPr>
        <w:t>05 6 职业技能要求</w:t>
      </w:r>
      <w:r>
        <w:rPr>
          <w:sz w:val="24"/>
        </w:rPr>
        <w:t>﹍﹍﹍﹍﹍﹍﹍﹍﹍﹍﹍﹍﹍﹍﹍﹍﹍﹍﹍﹍﹍﹍﹍﹍﹍</w:t>
      </w:r>
      <w:r>
        <w:rPr>
          <w:rFonts w:hint="eastAsia" w:ascii="Arial Unicode MS" w:eastAsia="Arial Unicode MS"/>
          <w:sz w:val="24"/>
        </w:rPr>
        <w:t xml:space="preserve">06 </w:t>
      </w:r>
      <w:r>
        <w:rPr>
          <w:rFonts w:hint="eastAsia" w:ascii="Arial Unicode MS" w:eastAsia="Arial Unicode MS"/>
          <w:w w:val="95"/>
          <w:sz w:val="24"/>
        </w:rPr>
        <w:t>参考文献</w:t>
      </w:r>
      <w:r>
        <w:rPr>
          <w:w w:val="95"/>
          <w:sz w:val="24"/>
        </w:rPr>
        <w:t>﹍﹍﹍﹍﹍﹍﹍﹍﹍﹍﹍﹍﹍﹍﹍﹍﹍﹍﹍﹍﹍﹍﹍﹍﹍﹍﹍﹍</w:t>
      </w:r>
      <w:r>
        <w:rPr>
          <w:rFonts w:hint="eastAsia" w:ascii="Arial Unicode MS" w:eastAsia="Arial Unicode MS"/>
          <w:w w:val="95"/>
          <w:sz w:val="24"/>
        </w:rPr>
        <w:t>35</w:t>
      </w:r>
    </w:p>
    <w:p>
      <w:pPr>
        <w:spacing w:after="0" w:line="345" w:lineRule="auto"/>
        <w:jc w:val="both"/>
        <w:rPr>
          <w:rFonts w:hint="eastAsia" w:ascii="Arial Unicode MS" w:eastAsia="Arial Unicode MS"/>
          <w:sz w:val="24"/>
        </w:rPr>
        <w:sectPr>
          <w:pgSz w:w="11910" w:h="16840"/>
          <w:pgMar w:top="1500" w:right="1280" w:bottom="280" w:left="1280" w:header="720" w:footer="720" w:gutter="0"/>
        </w:sectPr>
      </w:pPr>
    </w:p>
    <w:p>
      <w:pPr>
        <w:pStyle w:val="2"/>
        <w:tabs>
          <w:tab w:val="left" w:pos="960"/>
        </w:tabs>
      </w:pPr>
      <w:bookmarkStart w:id="0" w:name="1 范围"/>
      <w:bookmarkEnd w:id="0"/>
      <w:r>
        <w:t>前</w:t>
      </w:r>
      <w:r>
        <w:tab/>
      </w:r>
      <w:r>
        <w:t>言</w:t>
      </w:r>
    </w:p>
    <w:p>
      <w:pPr>
        <w:pStyle w:val="4"/>
        <w:rPr>
          <w:rFonts w:ascii="黑体"/>
          <w:sz w:val="32"/>
        </w:rPr>
      </w:pPr>
    </w:p>
    <w:p>
      <w:pPr>
        <w:pStyle w:val="4"/>
        <w:spacing w:before="2"/>
        <w:rPr>
          <w:rFonts w:ascii="黑体"/>
          <w:sz w:val="38"/>
        </w:rPr>
      </w:pPr>
    </w:p>
    <w:p>
      <w:pPr>
        <w:pStyle w:val="4"/>
        <w:ind w:left="1000"/>
        <w:jc w:val="both"/>
        <w:rPr>
          <w:rFonts w:hint="eastAsia" w:ascii="Arial Unicode MS" w:eastAsia="Arial Unicode MS"/>
        </w:rPr>
      </w:pPr>
      <w:r>
        <w:rPr>
          <w:rFonts w:hint="eastAsia" w:ascii="Arial Unicode MS" w:eastAsia="Arial Unicode MS"/>
        </w:rPr>
        <w:t>本标准按照</w:t>
      </w:r>
      <w:r>
        <w:rPr>
          <w:rFonts w:hint="eastAsia" w:ascii="Arial Unicode MS" w:eastAsia="Arial Unicode MS"/>
          <w:spacing w:val="1"/>
          <w:w w:val="66"/>
        </w:rPr>
        <w:t>G</w:t>
      </w:r>
      <w:r>
        <w:rPr>
          <w:rFonts w:hint="eastAsia" w:ascii="Arial Unicode MS" w:eastAsia="Arial Unicode MS"/>
          <w:spacing w:val="-1"/>
          <w:w w:val="75"/>
        </w:rPr>
        <w:t>B</w:t>
      </w:r>
      <w:r>
        <w:rPr>
          <w:rFonts w:hint="eastAsia" w:ascii="Arial Unicode MS" w:eastAsia="Arial Unicode MS"/>
          <w:spacing w:val="1"/>
          <w:w w:val="102"/>
        </w:rPr>
        <w:t>/</w:t>
      </w:r>
      <w:r>
        <w:rPr>
          <w:rFonts w:hint="eastAsia" w:ascii="Arial Unicode MS" w:eastAsia="Arial Unicode MS"/>
          <w:w w:val="85"/>
        </w:rPr>
        <w:t>T</w:t>
      </w:r>
      <w:r>
        <w:rPr>
          <w:rFonts w:hint="eastAsia" w:ascii="Arial Unicode MS" w:eastAsia="Arial Unicode MS"/>
          <w:spacing w:val="-15"/>
        </w:rPr>
        <w:t xml:space="preserve">  </w:t>
      </w:r>
      <w:r>
        <w:rPr>
          <w:rFonts w:hint="eastAsia" w:ascii="Arial Unicode MS" w:eastAsia="Arial Unicode MS"/>
          <w:spacing w:val="-1"/>
          <w:w w:val="86"/>
        </w:rPr>
        <w:t>1</w:t>
      </w:r>
      <w:r>
        <w:rPr>
          <w:rFonts w:hint="eastAsia" w:ascii="Arial Unicode MS" w:eastAsia="Arial Unicode MS"/>
          <w:w w:val="106"/>
        </w:rPr>
        <w:t>.</w:t>
      </w:r>
      <w:r>
        <w:rPr>
          <w:rFonts w:hint="eastAsia" w:ascii="Arial Unicode MS" w:eastAsia="Arial Unicode MS"/>
          <w:spacing w:val="-1"/>
          <w:w w:val="86"/>
        </w:rPr>
        <w:t>1</w:t>
      </w:r>
      <w:r>
        <w:rPr>
          <w:rFonts w:hint="eastAsia" w:ascii="Arial Unicode MS" w:eastAsia="Arial Unicode MS"/>
          <w:spacing w:val="-2"/>
          <w:w w:val="193"/>
        </w:rPr>
        <w:t>-</w:t>
      </w:r>
      <w:r>
        <w:rPr>
          <w:rFonts w:hint="eastAsia" w:ascii="Arial Unicode MS" w:eastAsia="Arial Unicode MS"/>
          <w:spacing w:val="-1"/>
          <w:w w:val="88"/>
        </w:rPr>
        <w:t>2</w:t>
      </w:r>
      <w:r>
        <w:rPr>
          <w:rFonts w:hint="eastAsia" w:ascii="Arial Unicode MS" w:eastAsia="Arial Unicode MS"/>
          <w:spacing w:val="-2"/>
          <w:w w:val="87"/>
        </w:rPr>
        <w:t>0</w:t>
      </w:r>
      <w:r>
        <w:rPr>
          <w:rFonts w:hint="eastAsia" w:ascii="Arial Unicode MS" w:eastAsia="Arial Unicode MS"/>
          <w:spacing w:val="1"/>
          <w:w w:val="87"/>
        </w:rPr>
        <w:t>0</w:t>
      </w:r>
      <w:r>
        <w:rPr>
          <w:rFonts w:hint="eastAsia" w:ascii="Arial Unicode MS" w:eastAsia="Arial Unicode MS"/>
          <w:w w:val="85"/>
        </w:rPr>
        <w:t>9</w:t>
      </w:r>
      <w:r>
        <w:rPr>
          <w:rFonts w:hint="eastAsia" w:ascii="Arial Unicode MS" w:eastAsia="Arial Unicode MS"/>
        </w:rPr>
        <w:t>给出的规则起草。</w:t>
      </w:r>
    </w:p>
    <w:p>
      <w:pPr>
        <w:pStyle w:val="4"/>
        <w:spacing w:before="182" w:line="345" w:lineRule="auto"/>
        <w:ind w:left="520" w:right="425" w:firstLine="480"/>
        <w:jc w:val="both"/>
        <w:rPr>
          <w:rFonts w:hint="eastAsia" w:ascii="Arial Unicode MS" w:eastAsia="Arial Unicode MS"/>
        </w:rPr>
      </w:pPr>
      <w:r>
        <w:rPr>
          <w:rFonts w:hint="eastAsia" w:ascii="Arial Unicode MS" w:eastAsia="Arial Unicode MS"/>
        </w:rPr>
        <w:t>本标准起草单位：</w:t>
      </w:r>
      <w:r>
        <w:rPr>
          <w:rFonts w:hint="eastAsia" w:ascii="Arial Unicode MS" w:eastAsia="Arial Unicode MS"/>
          <w:lang w:eastAsia="zh-CN"/>
        </w:rPr>
        <w:t>鄂尔多斯生态环境职业学院</w:t>
      </w:r>
      <w:r>
        <w:rPr>
          <w:rFonts w:hint="eastAsia" w:ascii="Arial Unicode MS" w:eastAsia="Arial Unicode MS"/>
        </w:rPr>
        <w:t>。</w:t>
      </w:r>
    </w:p>
    <w:p>
      <w:pPr>
        <w:pStyle w:val="4"/>
        <w:spacing w:line="345" w:lineRule="auto"/>
        <w:ind w:left="520" w:right="425" w:firstLine="480"/>
        <w:rPr>
          <w:rFonts w:hint="eastAsia" w:ascii="Arial Unicode MS" w:eastAsia="Arial Unicode MS"/>
        </w:rPr>
      </w:pPr>
      <w:r>
        <w:rPr>
          <w:rFonts w:hint="eastAsia" w:ascii="Arial Unicode MS" w:eastAsia="Arial Unicode MS"/>
        </w:rPr>
        <w:t>本标准主要起草人：</w:t>
      </w:r>
      <w:r>
        <w:rPr>
          <w:rFonts w:hint="eastAsia" w:ascii="Arial Unicode MS" w:eastAsia="Arial Unicode MS"/>
          <w:lang w:eastAsia="zh-CN"/>
        </w:rPr>
        <w:t>杨帆</w:t>
      </w:r>
      <w:r>
        <w:rPr>
          <w:rFonts w:hint="eastAsia" w:ascii="Arial Unicode MS" w:eastAsia="Arial Unicode MS"/>
        </w:rPr>
        <w:t>、</w:t>
      </w:r>
      <w:r>
        <w:rPr>
          <w:rFonts w:hint="eastAsia" w:ascii="Arial Unicode MS" w:eastAsia="Arial Unicode MS"/>
          <w:lang w:eastAsia="zh-CN"/>
        </w:rPr>
        <w:t>屈茹</w:t>
      </w:r>
      <w:r>
        <w:rPr>
          <w:rFonts w:hint="eastAsia" w:ascii="Arial Unicode MS" w:eastAsia="Arial Unicode MS"/>
        </w:rPr>
        <w:t>、</w:t>
      </w:r>
      <w:r>
        <w:rPr>
          <w:rFonts w:hint="eastAsia" w:ascii="Arial Unicode MS" w:eastAsia="Arial Unicode MS"/>
          <w:lang w:eastAsia="zh-CN"/>
        </w:rPr>
        <w:t>张俊英</w:t>
      </w:r>
      <w:r>
        <w:rPr>
          <w:rFonts w:hint="eastAsia" w:ascii="Arial Unicode MS" w:eastAsia="Arial Unicode MS"/>
        </w:rPr>
        <w:t>、</w:t>
      </w:r>
      <w:r>
        <w:rPr>
          <w:rFonts w:hint="eastAsia" w:ascii="Arial Unicode MS" w:eastAsia="Arial Unicode MS"/>
          <w:lang w:eastAsia="zh-CN"/>
        </w:rPr>
        <w:t>石艳玲</w:t>
      </w:r>
      <w:r>
        <w:rPr>
          <w:rFonts w:hint="eastAsia" w:ascii="Arial Unicode MS" w:eastAsia="Arial Unicode MS"/>
        </w:rPr>
        <w:t>、</w:t>
      </w:r>
      <w:r>
        <w:rPr>
          <w:rFonts w:hint="eastAsia" w:ascii="Arial Unicode MS" w:eastAsia="Arial Unicode MS"/>
          <w:lang w:eastAsia="zh-CN"/>
        </w:rPr>
        <w:t>刘学勤</w:t>
      </w:r>
      <w:r>
        <w:rPr>
          <w:rFonts w:hint="eastAsia" w:ascii="Arial Unicode MS" w:eastAsia="Arial Unicode MS"/>
        </w:rPr>
        <w:t>、</w:t>
      </w:r>
      <w:r>
        <w:rPr>
          <w:rFonts w:hint="eastAsia" w:ascii="Arial Unicode MS" w:eastAsia="Arial Unicode MS"/>
          <w:lang w:eastAsia="zh-CN"/>
        </w:rPr>
        <w:t>王美仁、侯贵锄、贾婷</w:t>
      </w:r>
      <w:r>
        <w:rPr>
          <w:rFonts w:hint="eastAsia" w:ascii="Arial Unicode MS" w:eastAsia="Arial Unicode MS"/>
        </w:rPr>
        <w:t>。</w:t>
      </w:r>
    </w:p>
    <w:p>
      <w:pPr>
        <w:pStyle w:val="4"/>
        <w:spacing w:before="12"/>
        <w:rPr>
          <w:rFonts w:ascii="Arial Unicode MS"/>
          <w:sz w:val="34"/>
        </w:rPr>
      </w:pPr>
    </w:p>
    <w:p>
      <w:pPr>
        <w:spacing w:before="0" w:line="355" w:lineRule="auto"/>
        <w:ind w:left="520" w:right="517" w:firstLine="480"/>
        <w:jc w:val="left"/>
        <w:rPr>
          <w:rFonts w:hint="eastAsia" w:ascii="方正小标宋简体" w:eastAsia="方正小标宋简体"/>
          <w:i/>
          <w:sz w:val="24"/>
        </w:rPr>
      </w:pPr>
      <w:r>
        <w:rPr>
          <w:rFonts w:hint="eastAsia" w:ascii="方正小标宋简体" w:eastAsia="方正小标宋简体"/>
          <w:i/>
          <w:spacing w:val="-6"/>
          <w:sz w:val="24"/>
        </w:rPr>
        <w:t>声明：本标准的知识产权归属于</w:t>
      </w:r>
      <w:r>
        <w:rPr>
          <w:rFonts w:hint="eastAsia" w:ascii="方正小标宋简体" w:eastAsia="方正小标宋简体"/>
          <w:i/>
          <w:spacing w:val="-6"/>
          <w:sz w:val="24"/>
          <w:lang w:eastAsia="zh-CN"/>
        </w:rPr>
        <w:t>鄂尔多斯生态环境职业学院</w:t>
      </w:r>
      <w:r>
        <w:rPr>
          <w:rFonts w:hint="eastAsia" w:ascii="方正小标宋简体" w:eastAsia="方正小标宋简体"/>
          <w:i/>
          <w:spacing w:val="-5"/>
          <w:sz w:val="24"/>
        </w:rPr>
        <w:t>，未经</w:t>
      </w:r>
      <w:r>
        <w:rPr>
          <w:rFonts w:hint="eastAsia" w:ascii="方正小标宋简体" w:eastAsia="方正小标宋简体"/>
          <w:i/>
          <w:spacing w:val="-6"/>
          <w:sz w:val="24"/>
          <w:lang w:eastAsia="zh-CN"/>
        </w:rPr>
        <w:t>鄂尔多斯生态环境职业学院</w:t>
      </w:r>
      <w:r>
        <w:rPr>
          <w:rFonts w:hint="eastAsia" w:ascii="方正小标宋简体" w:eastAsia="方正小标宋简体"/>
          <w:i/>
          <w:sz w:val="24"/>
        </w:rPr>
        <w:t>同意，不得印刷、销售。</w:t>
      </w:r>
    </w:p>
    <w:p>
      <w:pPr>
        <w:spacing w:after="0" w:line="355" w:lineRule="auto"/>
        <w:jc w:val="left"/>
        <w:rPr>
          <w:rFonts w:hint="eastAsia" w:ascii="方正小标宋简体" w:eastAsia="方正小标宋简体"/>
          <w:sz w:val="24"/>
        </w:rPr>
        <w:sectPr>
          <w:footerReference r:id="rId3" w:type="default"/>
          <w:pgSz w:w="11910" w:h="16840"/>
          <w:pgMar w:top="1500" w:right="1280" w:bottom="1340" w:left="1280" w:header="0" w:footer="1153" w:gutter="0"/>
          <w:pgNumType w:start="1"/>
        </w:sectPr>
      </w:pPr>
    </w:p>
    <w:p>
      <w:pPr>
        <w:pStyle w:val="8"/>
        <w:numPr>
          <w:ilvl w:val="0"/>
          <w:numId w:val="2"/>
        </w:numPr>
        <w:tabs>
          <w:tab w:val="left" w:pos="760"/>
        </w:tabs>
        <w:spacing w:before="83" w:after="0" w:line="240" w:lineRule="auto"/>
        <w:ind w:left="760" w:right="0" w:hanging="240"/>
        <w:jc w:val="left"/>
        <w:rPr>
          <w:rFonts w:hint="eastAsia" w:ascii="黑体" w:eastAsia="黑体"/>
          <w:sz w:val="24"/>
        </w:rPr>
      </w:pPr>
      <w:r>
        <w:rPr>
          <w:rFonts w:hint="eastAsia" w:ascii="黑体" w:eastAsia="黑体"/>
          <w:sz w:val="24"/>
        </w:rPr>
        <w:t>范围</w:t>
      </w:r>
    </w:p>
    <w:p>
      <w:pPr>
        <w:pStyle w:val="4"/>
        <w:spacing w:before="10"/>
        <w:rPr>
          <w:rFonts w:ascii="黑体"/>
          <w:sz w:val="22"/>
        </w:rPr>
      </w:pPr>
    </w:p>
    <w:p>
      <w:pPr>
        <w:pStyle w:val="4"/>
        <w:spacing w:line="468" w:lineRule="auto"/>
        <w:ind w:left="520" w:right="517" w:firstLine="480"/>
      </w:pPr>
      <w:r>
        <w:rPr>
          <w:spacing w:val="-9"/>
        </w:rPr>
        <w:t>本标准规定了涉及农业、粮食、食品等相关质量安全评价职业技能等级对应</w:t>
      </w:r>
      <w:r>
        <w:t>的工作领域、工作任务及职业技能要求。</w:t>
      </w:r>
    </w:p>
    <w:p>
      <w:pPr>
        <w:pStyle w:val="4"/>
        <w:spacing w:before="1" w:line="468" w:lineRule="auto"/>
        <w:ind w:left="520" w:right="515" w:firstLine="480"/>
      </w:pPr>
      <w:r>
        <w:rPr>
          <w:spacing w:val="-8"/>
        </w:rPr>
        <w:t>本标准适用于涉及农业、粮食、食品等相关质量安全评价职业技能培训、考</w:t>
      </w:r>
      <w:r>
        <w:t>核与评价，相关用人单位的人员聘用、培训与考核可参照使用。</w:t>
      </w:r>
    </w:p>
    <w:p>
      <w:pPr>
        <w:pStyle w:val="8"/>
        <w:numPr>
          <w:ilvl w:val="0"/>
          <w:numId w:val="2"/>
        </w:numPr>
        <w:tabs>
          <w:tab w:val="left" w:pos="760"/>
        </w:tabs>
        <w:spacing w:before="1" w:after="0" w:line="240" w:lineRule="auto"/>
        <w:ind w:left="760" w:right="0" w:hanging="240"/>
        <w:jc w:val="left"/>
        <w:rPr>
          <w:rFonts w:hint="eastAsia" w:ascii="黑体" w:eastAsia="黑体"/>
          <w:sz w:val="24"/>
        </w:rPr>
      </w:pPr>
      <w:bookmarkStart w:id="1" w:name="2 规范性引用文件"/>
      <w:bookmarkEnd w:id="1"/>
      <w:bookmarkStart w:id="2" w:name="2 规范性引用文件"/>
      <w:bookmarkEnd w:id="2"/>
      <w:r>
        <w:rPr>
          <w:rFonts w:hint="eastAsia" w:ascii="黑体" w:eastAsia="黑体"/>
          <w:sz w:val="24"/>
        </w:rPr>
        <w:t>规范性引用文件</w:t>
      </w:r>
    </w:p>
    <w:p>
      <w:pPr>
        <w:pStyle w:val="4"/>
        <w:spacing w:before="10"/>
        <w:rPr>
          <w:rFonts w:ascii="黑体"/>
          <w:sz w:val="22"/>
        </w:rPr>
      </w:pPr>
    </w:p>
    <w:p>
      <w:pPr>
        <w:pStyle w:val="4"/>
        <w:spacing w:line="468" w:lineRule="auto"/>
        <w:ind w:left="520" w:right="425" w:firstLine="480"/>
      </w:pPr>
      <w:r>
        <w:t>下列文件对于本标准的应用是必不可少的。凡是注日期的引用文件，仅注日期的版本适用于本标准。凡是不注日期的引用文件，其最新版本适用于本标准。</w:t>
      </w:r>
    </w:p>
    <w:p>
      <w:pPr>
        <w:pStyle w:val="4"/>
        <w:spacing w:before="1"/>
        <w:ind w:left="1000"/>
      </w:pPr>
      <w:r>
        <w:t>《国家职业技能标准编制技术规程》</w:t>
      </w:r>
    </w:p>
    <w:p>
      <w:pPr>
        <w:pStyle w:val="4"/>
        <w:spacing w:before="11"/>
        <w:rPr>
          <w:sz w:val="22"/>
        </w:rPr>
      </w:pPr>
    </w:p>
    <w:p>
      <w:pPr>
        <w:pStyle w:val="4"/>
        <w:ind w:left="1000"/>
      </w:pPr>
      <w:r>
        <w:t>《国家职业教育专业教学标准》</w:t>
      </w:r>
    </w:p>
    <w:p>
      <w:pPr>
        <w:pStyle w:val="4"/>
        <w:spacing w:before="10"/>
        <w:rPr>
          <w:sz w:val="22"/>
        </w:rPr>
      </w:pPr>
    </w:p>
    <w:p>
      <w:pPr>
        <w:pStyle w:val="4"/>
        <w:spacing w:line="468" w:lineRule="auto"/>
        <w:ind w:left="1000" w:right="3185"/>
        <w:jc w:val="both"/>
      </w:pPr>
      <w:r>
        <w:t>GB 2760 食品安全国家标准 食品添加剂使用标准GB 2761 食品安全国家标准 食品中真菌毒素限量GB 2762 食品安全国家标准 食品中污染物限量</w:t>
      </w:r>
    </w:p>
    <w:p>
      <w:pPr>
        <w:pStyle w:val="4"/>
        <w:spacing w:before="2"/>
        <w:ind w:left="1000"/>
      </w:pPr>
      <w:r>
        <w:t>GB 2763 食品安全国家标准 食品中农药最大残留限量</w:t>
      </w:r>
    </w:p>
    <w:p>
      <w:pPr>
        <w:pStyle w:val="4"/>
        <w:spacing w:before="10"/>
        <w:rPr>
          <w:sz w:val="22"/>
        </w:rPr>
      </w:pPr>
    </w:p>
    <w:p>
      <w:pPr>
        <w:pStyle w:val="4"/>
        <w:spacing w:line="468" w:lineRule="auto"/>
        <w:ind w:left="1000" w:right="1145"/>
      </w:pPr>
      <w:r>
        <w:t>GB 8955-2016 食品安全国家标准 食用植物油及其制品生产卫生规范GB 13078 饲料卫生标准</w:t>
      </w:r>
    </w:p>
    <w:p>
      <w:pPr>
        <w:pStyle w:val="4"/>
        <w:spacing w:before="1" w:line="468" w:lineRule="auto"/>
        <w:ind w:left="1000" w:right="2705"/>
      </w:pPr>
      <w:r>
        <w:t>GB 13122-2016 食品安全国家标准 谷物加工卫生规范GB 14881 食品安全国家标准 食品生产通用卫生规范</w:t>
      </w:r>
    </w:p>
    <w:p>
      <w:pPr>
        <w:pStyle w:val="4"/>
        <w:tabs>
          <w:tab w:val="left" w:pos="4359"/>
        </w:tabs>
        <w:spacing w:before="1" w:line="468" w:lineRule="auto"/>
        <w:ind w:left="1000" w:right="905"/>
      </w:pPr>
      <w:r>
        <w:t>GB 15618-2018 土壤环境质量</w:t>
      </w:r>
      <w:r>
        <w:tab/>
      </w:r>
      <w:r>
        <w:t>农用地土壤污染风险管控标准（试行</w:t>
      </w:r>
      <w:r>
        <w:rPr>
          <w:spacing w:val="-18"/>
        </w:rPr>
        <w:t xml:space="preserve">） </w:t>
      </w:r>
      <w:r>
        <w:t>GB/T 7027 信息分类和编码的基本原则与方法</w:t>
      </w:r>
    </w:p>
    <w:p>
      <w:pPr>
        <w:pStyle w:val="4"/>
        <w:ind w:left="1000"/>
      </w:pPr>
      <w:r>
        <w:t>GB/T 9386 计算机软件测试文件编制规范</w:t>
      </w:r>
    </w:p>
    <w:p>
      <w:pPr>
        <w:pStyle w:val="4"/>
        <w:spacing w:before="11"/>
        <w:rPr>
          <w:sz w:val="22"/>
        </w:rPr>
      </w:pPr>
    </w:p>
    <w:p>
      <w:pPr>
        <w:pStyle w:val="4"/>
        <w:ind w:left="1000"/>
      </w:pPr>
      <w:r>
        <w:t>GB/T 14394 计算机软件可靠性和可维护性管理</w:t>
      </w:r>
    </w:p>
    <w:p>
      <w:pPr>
        <w:pStyle w:val="4"/>
        <w:spacing w:before="11"/>
        <w:rPr>
          <w:sz w:val="22"/>
        </w:rPr>
      </w:pPr>
    </w:p>
    <w:p>
      <w:pPr>
        <w:pStyle w:val="4"/>
        <w:ind w:left="1000"/>
      </w:pPr>
      <w:r>
        <w:t>GB/T 17532 术语工作计算机应用词汇</w:t>
      </w:r>
    </w:p>
    <w:p>
      <w:pPr>
        <w:spacing w:after="0"/>
        <w:sectPr>
          <w:pgSz w:w="11910" w:h="16840"/>
          <w:pgMar w:top="1580" w:right="1280" w:bottom="1420" w:left="1280" w:header="0" w:footer="1153" w:gutter="0"/>
        </w:sectPr>
      </w:pPr>
    </w:p>
    <w:p>
      <w:pPr>
        <w:pStyle w:val="4"/>
        <w:spacing w:before="83" w:after="34" w:line="468" w:lineRule="auto"/>
        <w:ind w:left="1000" w:right="3305"/>
      </w:pPr>
      <w:r>
        <w:t>GB/T 18018 信息安全技术 路由器安全技术要求GB/T 21028 信息安全技术 服务器安全技术要求</w:t>
      </w:r>
    </w:p>
    <w:tbl>
      <w:tblPr>
        <w:tblStyle w:val="5"/>
        <w:tblW w:w="0" w:type="auto"/>
        <w:tblInd w:w="95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0"/>
        <w:gridCol w:w="720"/>
        <w:gridCol w:w="600"/>
        <w:gridCol w:w="563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590" w:type="dxa"/>
          </w:tcPr>
          <w:p>
            <w:pPr>
              <w:pStyle w:val="9"/>
              <w:spacing w:line="274" w:lineRule="exact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GB/T</w:t>
            </w:r>
          </w:p>
        </w:tc>
        <w:tc>
          <w:tcPr>
            <w:tcW w:w="1320" w:type="dxa"/>
            <w:gridSpan w:val="2"/>
          </w:tcPr>
          <w:p>
            <w:pPr>
              <w:pStyle w:val="9"/>
              <w:spacing w:line="274" w:lineRule="exact"/>
              <w:ind w:left="60"/>
              <w:rPr>
                <w:sz w:val="24"/>
              </w:rPr>
            </w:pPr>
            <w:r>
              <w:rPr>
                <w:sz w:val="24"/>
              </w:rPr>
              <w:t>22000-2006</w:t>
            </w:r>
          </w:p>
        </w:tc>
        <w:tc>
          <w:tcPr>
            <w:tcW w:w="5630" w:type="dxa"/>
          </w:tcPr>
          <w:p>
            <w:pPr>
              <w:pStyle w:val="9"/>
              <w:spacing w:line="274" w:lineRule="exact"/>
              <w:ind w:left="60"/>
              <w:rPr>
                <w:sz w:val="24"/>
              </w:rPr>
            </w:pPr>
            <w:r>
              <w:rPr>
                <w:sz w:val="24"/>
              </w:rPr>
              <w:t>食品安全管理体系 食品链中各类组织的要求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90" w:type="dxa"/>
          </w:tcPr>
          <w:p>
            <w:pPr>
              <w:pStyle w:val="9"/>
              <w:spacing w:before="146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GB/T</w:t>
            </w:r>
          </w:p>
        </w:tc>
        <w:tc>
          <w:tcPr>
            <w:tcW w:w="1320" w:type="dxa"/>
            <w:gridSpan w:val="2"/>
          </w:tcPr>
          <w:p>
            <w:pPr>
              <w:pStyle w:val="9"/>
              <w:spacing w:before="146"/>
              <w:ind w:left="60"/>
              <w:rPr>
                <w:sz w:val="24"/>
              </w:rPr>
            </w:pPr>
            <w:r>
              <w:rPr>
                <w:sz w:val="24"/>
              </w:rPr>
              <w:t>22004-2007</w:t>
            </w:r>
          </w:p>
        </w:tc>
        <w:tc>
          <w:tcPr>
            <w:tcW w:w="5630" w:type="dxa"/>
          </w:tcPr>
          <w:p>
            <w:pPr>
              <w:pStyle w:val="9"/>
              <w:spacing w:before="146"/>
              <w:ind w:left="60"/>
              <w:rPr>
                <w:sz w:val="24"/>
              </w:rPr>
            </w:pPr>
            <w:r>
              <w:rPr>
                <w:sz w:val="24"/>
              </w:rPr>
              <w:t>食品安全管理体系 GB/T 22000-2006的应用指南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90" w:type="dxa"/>
          </w:tcPr>
          <w:p>
            <w:pPr>
              <w:pStyle w:val="9"/>
              <w:spacing w:before="146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GB/T</w:t>
            </w:r>
          </w:p>
        </w:tc>
        <w:tc>
          <w:tcPr>
            <w:tcW w:w="1320" w:type="dxa"/>
            <w:gridSpan w:val="2"/>
          </w:tcPr>
          <w:p>
            <w:pPr>
              <w:pStyle w:val="9"/>
              <w:spacing w:before="146"/>
              <w:ind w:left="60"/>
              <w:rPr>
                <w:sz w:val="24"/>
              </w:rPr>
            </w:pPr>
            <w:r>
              <w:rPr>
                <w:sz w:val="24"/>
              </w:rPr>
              <w:t>22005-2009</w:t>
            </w:r>
          </w:p>
        </w:tc>
        <w:tc>
          <w:tcPr>
            <w:tcW w:w="5630" w:type="dxa"/>
          </w:tcPr>
          <w:p>
            <w:pPr>
              <w:pStyle w:val="9"/>
              <w:spacing w:before="146"/>
              <w:ind w:left="60"/>
              <w:rPr>
                <w:sz w:val="24"/>
              </w:rPr>
            </w:pPr>
            <w:r>
              <w:rPr>
                <w:sz w:val="24"/>
              </w:rPr>
              <w:t>饲料和食品链的可追溯性体系设计与实施的通用原则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90" w:type="dxa"/>
          </w:tcPr>
          <w:p>
            <w:pPr>
              <w:pStyle w:val="9"/>
              <w:spacing w:before="146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GB/T</w:t>
            </w:r>
          </w:p>
        </w:tc>
        <w:tc>
          <w:tcPr>
            <w:tcW w:w="720" w:type="dxa"/>
          </w:tcPr>
          <w:p>
            <w:pPr>
              <w:pStyle w:val="9"/>
              <w:spacing w:before="146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23831</w:t>
            </w:r>
          </w:p>
        </w:tc>
        <w:tc>
          <w:tcPr>
            <w:tcW w:w="6230" w:type="dxa"/>
            <w:gridSpan w:val="2"/>
          </w:tcPr>
          <w:p>
            <w:pPr>
              <w:pStyle w:val="9"/>
              <w:spacing w:before="146"/>
              <w:ind w:left="60"/>
              <w:rPr>
                <w:sz w:val="24"/>
              </w:rPr>
            </w:pPr>
            <w:r>
              <w:rPr>
                <w:sz w:val="24"/>
              </w:rPr>
              <w:t>物流信息分类与代码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90" w:type="dxa"/>
          </w:tcPr>
          <w:p>
            <w:pPr>
              <w:pStyle w:val="9"/>
              <w:spacing w:before="146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GB/T</w:t>
            </w:r>
          </w:p>
        </w:tc>
        <w:tc>
          <w:tcPr>
            <w:tcW w:w="720" w:type="dxa"/>
          </w:tcPr>
          <w:p>
            <w:pPr>
              <w:pStyle w:val="9"/>
              <w:spacing w:before="146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26630</w:t>
            </w:r>
          </w:p>
        </w:tc>
        <w:tc>
          <w:tcPr>
            <w:tcW w:w="6230" w:type="dxa"/>
            <w:gridSpan w:val="2"/>
          </w:tcPr>
          <w:p>
            <w:pPr>
              <w:pStyle w:val="9"/>
              <w:spacing w:before="146"/>
              <w:ind w:left="60"/>
              <w:rPr>
                <w:sz w:val="24"/>
              </w:rPr>
            </w:pPr>
            <w:r>
              <w:rPr>
                <w:sz w:val="24"/>
              </w:rPr>
              <w:t>大米加工企业良好操作规范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90" w:type="dxa"/>
          </w:tcPr>
          <w:p>
            <w:pPr>
              <w:pStyle w:val="9"/>
              <w:spacing w:before="146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GB/T</w:t>
            </w:r>
          </w:p>
        </w:tc>
        <w:tc>
          <w:tcPr>
            <w:tcW w:w="720" w:type="dxa"/>
          </w:tcPr>
          <w:p>
            <w:pPr>
              <w:pStyle w:val="9"/>
              <w:spacing w:before="146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27302</w:t>
            </w:r>
          </w:p>
        </w:tc>
        <w:tc>
          <w:tcPr>
            <w:tcW w:w="6230" w:type="dxa"/>
            <w:gridSpan w:val="2"/>
          </w:tcPr>
          <w:p>
            <w:pPr>
              <w:pStyle w:val="9"/>
              <w:spacing w:before="146"/>
              <w:ind w:left="60"/>
              <w:rPr>
                <w:sz w:val="24"/>
              </w:rPr>
            </w:pPr>
            <w:r>
              <w:rPr>
                <w:sz w:val="24"/>
              </w:rPr>
              <w:t>食品安全管理体系 速冻方便食品生产企业要求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90" w:type="dxa"/>
          </w:tcPr>
          <w:p>
            <w:pPr>
              <w:pStyle w:val="9"/>
              <w:spacing w:before="146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GB/T</w:t>
            </w:r>
          </w:p>
        </w:tc>
        <w:tc>
          <w:tcPr>
            <w:tcW w:w="720" w:type="dxa"/>
          </w:tcPr>
          <w:p>
            <w:pPr>
              <w:pStyle w:val="9"/>
              <w:spacing w:before="146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27303</w:t>
            </w:r>
          </w:p>
        </w:tc>
        <w:tc>
          <w:tcPr>
            <w:tcW w:w="6230" w:type="dxa"/>
            <w:gridSpan w:val="2"/>
          </w:tcPr>
          <w:p>
            <w:pPr>
              <w:pStyle w:val="9"/>
              <w:spacing w:before="146"/>
              <w:ind w:left="60"/>
              <w:rPr>
                <w:sz w:val="24"/>
              </w:rPr>
            </w:pPr>
            <w:r>
              <w:rPr>
                <w:sz w:val="24"/>
              </w:rPr>
              <w:t>食品安全管理体系 罐头食品生产企业要求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90" w:type="dxa"/>
          </w:tcPr>
          <w:p>
            <w:pPr>
              <w:pStyle w:val="9"/>
              <w:spacing w:before="146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GB/T</w:t>
            </w:r>
          </w:p>
        </w:tc>
        <w:tc>
          <w:tcPr>
            <w:tcW w:w="720" w:type="dxa"/>
          </w:tcPr>
          <w:p>
            <w:pPr>
              <w:pStyle w:val="9"/>
              <w:spacing w:before="146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28843</w:t>
            </w:r>
          </w:p>
        </w:tc>
        <w:tc>
          <w:tcPr>
            <w:tcW w:w="6230" w:type="dxa"/>
            <w:gridSpan w:val="2"/>
          </w:tcPr>
          <w:p>
            <w:pPr>
              <w:pStyle w:val="9"/>
              <w:spacing w:before="146"/>
              <w:ind w:left="60"/>
              <w:rPr>
                <w:sz w:val="24"/>
              </w:rPr>
            </w:pPr>
            <w:r>
              <w:rPr>
                <w:sz w:val="24"/>
              </w:rPr>
              <w:t>食品冷链物流追溯管理要求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90" w:type="dxa"/>
          </w:tcPr>
          <w:p>
            <w:pPr>
              <w:pStyle w:val="9"/>
              <w:spacing w:before="146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GB/T</w:t>
            </w:r>
          </w:p>
        </w:tc>
        <w:tc>
          <w:tcPr>
            <w:tcW w:w="720" w:type="dxa"/>
          </w:tcPr>
          <w:p>
            <w:pPr>
              <w:pStyle w:val="9"/>
              <w:spacing w:before="146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29890</w:t>
            </w:r>
          </w:p>
        </w:tc>
        <w:tc>
          <w:tcPr>
            <w:tcW w:w="6230" w:type="dxa"/>
            <w:gridSpan w:val="2"/>
          </w:tcPr>
          <w:p>
            <w:pPr>
              <w:pStyle w:val="9"/>
              <w:spacing w:before="146"/>
              <w:ind w:left="60"/>
              <w:rPr>
                <w:sz w:val="24"/>
              </w:rPr>
            </w:pPr>
            <w:r>
              <w:rPr>
                <w:sz w:val="24"/>
              </w:rPr>
              <w:t>粮油储藏技术规范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590" w:type="dxa"/>
          </w:tcPr>
          <w:p>
            <w:pPr>
              <w:pStyle w:val="9"/>
              <w:spacing w:before="146" w:line="254" w:lineRule="exact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GB/T</w:t>
            </w:r>
          </w:p>
        </w:tc>
        <w:tc>
          <w:tcPr>
            <w:tcW w:w="720" w:type="dxa"/>
          </w:tcPr>
          <w:p>
            <w:pPr>
              <w:pStyle w:val="9"/>
              <w:spacing w:before="146" w:line="254" w:lineRule="exact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30466</w:t>
            </w:r>
          </w:p>
        </w:tc>
        <w:tc>
          <w:tcPr>
            <w:tcW w:w="6230" w:type="dxa"/>
            <w:gridSpan w:val="2"/>
          </w:tcPr>
          <w:p>
            <w:pPr>
              <w:pStyle w:val="9"/>
              <w:spacing w:before="146" w:line="254" w:lineRule="exact"/>
              <w:ind w:left="60"/>
              <w:rPr>
                <w:sz w:val="24"/>
              </w:rPr>
            </w:pPr>
            <w:r>
              <w:rPr>
                <w:sz w:val="24"/>
              </w:rPr>
              <w:t>粮食干燥系统安全操作规范</w:t>
            </w:r>
          </w:p>
        </w:tc>
      </w:tr>
    </w:tbl>
    <w:p>
      <w:pPr>
        <w:pStyle w:val="4"/>
        <w:spacing w:before="5"/>
        <w:rPr>
          <w:sz w:val="25"/>
        </w:rPr>
      </w:pPr>
    </w:p>
    <w:p>
      <w:pPr>
        <w:pStyle w:val="4"/>
        <w:spacing w:before="1" w:after="34" w:line="468" w:lineRule="auto"/>
        <w:ind w:left="1000" w:right="2225"/>
      </w:pPr>
      <w:r>
        <w:t>GB/T 31167-2014 信息安全技术 云计算服务安全指南GB/T 35274-2017 信息安全技术 大数据服务安全能力要求</w:t>
      </w:r>
    </w:p>
    <w:tbl>
      <w:tblPr>
        <w:tblStyle w:val="5"/>
        <w:tblW w:w="0" w:type="auto"/>
        <w:tblInd w:w="95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0"/>
        <w:gridCol w:w="720"/>
        <w:gridCol w:w="551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590" w:type="dxa"/>
          </w:tcPr>
          <w:p>
            <w:pPr>
              <w:pStyle w:val="9"/>
              <w:spacing w:line="274" w:lineRule="exact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GB/T</w:t>
            </w:r>
          </w:p>
        </w:tc>
        <w:tc>
          <w:tcPr>
            <w:tcW w:w="720" w:type="dxa"/>
          </w:tcPr>
          <w:p>
            <w:pPr>
              <w:pStyle w:val="9"/>
              <w:spacing w:line="274" w:lineRule="exact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35281</w:t>
            </w:r>
          </w:p>
        </w:tc>
        <w:tc>
          <w:tcPr>
            <w:tcW w:w="5510" w:type="dxa"/>
          </w:tcPr>
          <w:p>
            <w:pPr>
              <w:pStyle w:val="9"/>
              <w:spacing w:line="274" w:lineRule="exact"/>
              <w:ind w:left="60"/>
              <w:rPr>
                <w:sz w:val="24"/>
              </w:rPr>
            </w:pPr>
            <w:r>
              <w:rPr>
                <w:sz w:val="24"/>
              </w:rPr>
              <w:t>信息安全技术 移动互联网应用服务器安全技术要求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90" w:type="dxa"/>
          </w:tcPr>
          <w:p>
            <w:pPr>
              <w:pStyle w:val="9"/>
              <w:spacing w:before="146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GB/T</w:t>
            </w:r>
          </w:p>
        </w:tc>
        <w:tc>
          <w:tcPr>
            <w:tcW w:w="720" w:type="dxa"/>
          </w:tcPr>
          <w:p>
            <w:pPr>
              <w:pStyle w:val="9"/>
              <w:spacing w:before="146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36088</w:t>
            </w:r>
          </w:p>
        </w:tc>
        <w:tc>
          <w:tcPr>
            <w:tcW w:w="5510" w:type="dxa"/>
          </w:tcPr>
          <w:p>
            <w:pPr>
              <w:pStyle w:val="9"/>
              <w:spacing w:before="146"/>
              <w:ind w:left="60"/>
              <w:rPr>
                <w:sz w:val="24"/>
              </w:rPr>
            </w:pPr>
            <w:r>
              <w:rPr>
                <w:sz w:val="24"/>
              </w:rPr>
              <w:t>冷链物流 信息管理要求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90" w:type="dxa"/>
          </w:tcPr>
          <w:p>
            <w:pPr>
              <w:pStyle w:val="9"/>
              <w:spacing w:before="146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GB/T</w:t>
            </w:r>
          </w:p>
        </w:tc>
        <w:tc>
          <w:tcPr>
            <w:tcW w:w="720" w:type="dxa"/>
          </w:tcPr>
          <w:p>
            <w:pPr>
              <w:pStyle w:val="9"/>
              <w:spacing w:before="146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37029</w:t>
            </w:r>
          </w:p>
        </w:tc>
        <w:tc>
          <w:tcPr>
            <w:tcW w:w="5510" w:type="dxa"/>
          </w:tcPr>
          <w:p>
            <w:pPr>
              <w:pStyle w:val="9"/>
              <w:spacing w:before="146"/>
              <w:ind w:left="60"/>
              <w:rPr>
                <w:sz w:val="24"/>
              </w:rPr>
            </w:pPr>
            <w:r>
              <w:rPr>
                <w:sz w:val="24"/>
              </w:rPr>
              <w:t>食品追溯 信息记录要求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90" w:type="dxa"/>
          </w:tcPr>
          <w:p>
            <w:pPr>
              <w:pStyle w:val="9"/>
              <w:spacing w:before="146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GB/T</w:t>
            </w:r>
          </w:p>
        </w:tc>
        <w:tc>
          <w:tcPr>
            <w:tcW w:w="720" w:type="dxa"/>
          </w:tcPr>
          <w:p>
            <w:pPr>
              <w:pStyle w:val="9"/>
              <w:spacing w:before="146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37060</w:t>
            </w:r>
          </w:p>
        </w:tc>
        <w:tc>
          <w:tcPr>
            <w:tcW w:w="5510" w:type="dxa"/>
          </w:tcPr>
          <w:p>
            <w:pPr>
              <w:pStyle w:val="9"/>
              <w:spacing w:before="146"/>
              <w:ind w:left="60"/>
              <w:rPr>
                <w:sz w:val="24"/>
              </w:rPr>
            </w:pPr>
            <w:r>
              <w:rPr>
                <w:sz w:val="24"/>
              </w:rPr>
              <w:t>农产品流通信息管理技术通则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590" w:type="dxa"/>
          </w:tcPr>
          <w:p>
            <w:pPr>
              <w:pStyle w:val="9"/>
              <w:spacing w:before="146" w:line="254" w:lineRule="exact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GB/T</w:t>
            </w:r>
          </w:p>
        </w:tc>
        <w:tc>
          <w:tcPr>
            <w:tcW w:w="720" w:type="dxa"/>
          </w:tcPr>
          <w:p>
            <w:pPr>
              <w:pStyle w:val="9"/>
              <w:spacing w:before="146" w:line="254" w:lineRule="exact"/>
              <w:ind w:right="59"/>
              <w:jc w:val="right"/>
              <w:rPr>
                <w:sz w:val="24"/>
              </w:rPr>
            </w:pPr>
            <w:r>
              <w:rPr>
                <w:sz w:val="24"/>
              </w:rPr>
              <w:t>37110</w:t>
            </w:r>
          </w:p>
        </w:tc>
        <w:tc>
          <w:tcPr>
            <w:tcW w:w="5510" w:type="dxa"/>
          </w:tcPr>
          <w:p>
            <w:pPr>
              <w:pStyle w:val="9"/>
              <w:spacing w:before="146" w:line="254" w:lineRule="exact"/>
              <w:ind w:left="60"/>
              <w:rPr>
                <w:sz w:val="24"/>
              </w:rPr>
            </w:pPr>
            <w:r>
              <w:rPr>
                <w:sz w:val="24"/>
              </w:rPr>
              <w:t>农产品基本信息描述 谷物类</w:t>
            </w:r>
          </w:p>
        </w:tc>
      </w:tr>
    </w:tbl>
    <w:p>
      <w:pPr>
        <w:pStyle w:val="4"/>
        <w:spacing w:before="5"/>
        <w:rPr>
          <w:sz w:val="25"/>
        </w:rPr>
      </w:pPr>
    </w:p>
    <w:p>
      <w:pPr>
        <w:pStyle w:val="4"/>
        <w:spacing w:before="1"/>
        <w:ind w:left="1000"/>
      </w:pPr>
      <w:r>
        <w:t>LS 1212 储粮化学药剂管理和使用规范</w:t>
      </w:r>
    </w:p>
    <w:p>
      <w:pPr>
        <w:pStyle w:val="4"/>
        <w:spacing w:line="600" w:lineRule="atLeast"/>
        <w:ind w:left="1000" w:right="4745"/>
      </w:pPr>
      <w:r>
        <w:t>LS/T 1713 库存粮食识别代码NY/T 496 肥料合理使用准则 通则NY/T 2806 饲料检验化验员</w:t>
      </w:r>
    </w:p>
    <w:p>
      <w:pPr>
        <w:spacing w:after="0" w:line="600" w:lineRule="atLeast"/>
        <w:sectPr>
          <w:pgSz w:w="11910" w:h="16840"/>
          <w:pgMar w:top="1580" w:right="1280" w:bottom="1420" w:left="1280" w:header="0" w:footer="1153" w:gutter="0"/>
        </w:sectPr>
      </w:pPr>
    </w:p>
    <w:p>
      <w:pPr>
        <w:pStyle w:val="4"/>
        <w:spacing w:before="83"/>
        <w:ind w:left="1000"/>
      </w:pPr>
      <w:r>
        <w:t>NY/T 5336 无公害食品粮食生产管理规范</w:t>
      </w:r>
    </w:p>
    <w:p>
      <w:pPr>
        <w:pStyle w:val="4"/>
        <w:spacing w:before="10"/>
        <w:rPr>
          <w:sz w:val="22"/>
        </w:rPr>
      </w:pPr>
    </w:p>
    <w:p>
      <w:pPr>
        <w:pStyle w:val="4"/>
        <w:ind w:left="1000"/>
      </w:pPr>
      <w:r>
        <w:t>SB/T 10829 豆制品企业良好操作规范</w:t>
      </w:r>
    </w:p>
    <w:p>
      <w:pPr>
        <w:pStyle w:val="4"/>
        <w:spacing w:before="11"/>
        <w:rPr>
          <w:sz w:val="22"/>
        </w:rPr>
      </w:pPr>
    </w:p>
    <w:p>
      <w:pPr>
        <w:pStyle w:val="8"/>
        <w:numPr>
          <w:ilvl w:val="0"/>
          <w:numId w:val="2"/>
        </w:numPr>
        <w:tabs>
          <w:tab w:val="left" w:pos="760"/>
        </w:tabs>
        <w:spacing w:before="0" w:after="0" w:line="240" w:lineRule="auto"/>
        <w:ind w:left="760" w:right="0" w:hanging="240"/>
        <w:jc w:val="left"/>
        <w:rPr>
          <w:rFonts w:hint="eastAsia" w:ascii="黑体" w:eastAsia="黑体"/>
          <w:sz w:val="24"/>
        </w:rPr>
      </w:pPr>
      <w:bookmarkStart w:id="3" w:name="3 术语和定义 "/>
      <w:bookmarkEnd w:id="3"/>
      <w:bookmarkStart w:id="4" w:name="3 术语和定义 "/>
      <w:bookmarkEnd w:id="4"/>
      <w:r>
        <w:rPr>
          <w:rFonts w:hint="eastAsia" w:ascii="黑体" w:eastAsia="黑体"/>
          <w:sz w:val="24"/>
        </w:rPr>
        <w:t>术语和定义</w:t>
      </w:r>
    </w:p>
    <w:p>
      <w:pPr>
        <w:pStyle w:val="4"/>
        <w:spacing w:before="10"/>
        <w:rPr>
          <w:rFonts w:ascii="黑体"/>
          <w:sz w:val="22"/>
        </w:rPr>
      </w:pPr>
    </w:p>
    <w:p>
      <w:pPr>
        <w:pStyle w:val="4"/>
        <w:spacing w:before="1"/>
        <w:ind w:left="1000"/>
      </w:pPr>
      <w:r>
        <w:t>国家标准界定的以及下列术语和定义适用于本标准。</w:t>
      </w:r>
    </w:p>
    <w:p>
      <w:pPr>
        <w:pStyle w:val="4"/>
        <w:spacing w:before="10"/>
        <w:rPr>
          <w:sz w:val="22"/>
        </w:rPr>
      </w:pPr>
    </w:p>
    <w:p>
      <w:pPr>
        <w:widowControl/>
        <w:spacing w:line="400" w:lineRule="exact"/>
        <w:ind w:firstLine="440" w:firstLineChars="200"/>
        <w:jc w:val="left"/>
        <w:rPr>
          <w:rFonts w:ascii="宋体" w:hAnsi="宋体" w:eastAsia="宋体" w:cs="Times New Roman"/>
          <w:kern w:val="0"/>
          <w:sz w:val="22"/>
          <w:szCs w:val="24"/>
        </w:rPr>
      </w:pPr>
      <w:r>
        <w:rPr>
          <w:rFonts w:hint="eastAsia" w:cs="Times New Roman"/>
          <w:kern w:val="0"/>
          <w:sz w:val="22"/>
          <w:lang w:val="en-US" w:eastAsia="zh-CN"/>
        </w:rPr>
        <w:t>3.1</w:t>
      </w:r>
      <w:r>
        <w:rPr>
          <w:rFonts w:ascii="宋体" w:hAnsi="宋体" w:eastAsia="宋体" w:cs="Times New Roman"/>
          <w:kern w:val="0"/>
          <w:sz w:val="22"/>
        </w:rPr>
        <w:t>西式面点师</w:t>
      </w:r>
      <w:r>
        <w:rPr>
          <w:rFonts w:ascii="宋体" w:hAnsi="宋体" w:eastAsia="宋体" w:cs="Times New Roman"/>
          <w:kern w:val="0"/>
          <w:sz w:val="22"/>
          <w:szCs w:val="24"/>
        </w:rPr>
        <w:t xml:space="preserve"> </w:t>
      </w:r>
    </w:p>
    <w:p>
      <w:pPr>
        <w:pStyle w:val="4"/>
        <w:spacing w:before="11"/>
        <w:rPr>
          <w:b/>
          <w:sz w:val="22"/>
        </w:rPr>
      </w:pPr>
    </w:p>
    <w:p>
      <w:pPr>
        <w:widowControl/>
        <w:spacing w:line="400" w:lineRule="exact"/>
        <w:ind w:firstLine="440" w:firstLineChars="200"/>
        <w:jc w:val="left"/>
        <w:rPr>
          <w:rFonts w:ascii="宋体" w:hAnsi="宋体" w:eastAsia="宋体" w:cs="Times New Roman"/>
          <w:kern w:val="0"/>
          <w:sz w:val="22"/>
          <w:szCs w:val="24"/>
        </w:rPr>
      </w:pPr>
      <w:r>
        <w:rPr>
          <w:rFonts w:ascii="宋体" w:hAnsi="宋体" w:eastAsia="宋体" w:cs="Times New Roman"/>
          <w:kern w:val="0"/>
          <w:sz w:val="22"/>
        </w:rPr>
        <w:t>运用不同的操作技术、成型技巧及成熟方法对主料、辅料进行加工，制成西式风味面食、点心的人员。</w:t>
      </w:r>
      <w:r>
        <w:rPr>
          <w:rFonts w:ascii="宋体" w:hAnsi="宋体" w:eastAsia="宋体" w:cs="Times New Roman"/>
          <w:kern w:val="0"/>
          <w:sz w:val="22"/>
          <w:szCs w:val="24"/>
        </w:rPr>
        <w:t xml:space="preserve"> </w:t>
      </w:r>
    </w:p>
    <w:p>
      <w:pPr>
        <w:pStyle w:val="8"/>
        <w:numPr>
          <w:ilvl w:val="0"/>
          <w:numId w:val="2"/>
        </w:numPr>
        <w:tabs>
          <w:tab w:val="left" w:pos="760"/>
        </w:tabs>
        <w:spacing w:before="1" w:after="0" w:line="240" w:lineRule="auto"/>
        <w:ind w:left="760" w:right="0" w:hanging="240"/>
        <w:jc w:val="left"/>
        <w:rPr>
          <w:rFonts w:hint="eastAsia" w:ascii="黑体" w:eastAsia="黑体"/>
          <w:sz w:val="24"/>
        </w:rPr>
      </w:pPr>
      <w:bookmarkStart w:id="5" w:name="4 适用院校专业"/>
      <w:bookmarkEnd w:id="5"/>
      <w:bookmarkStart w:id="6" w:name="4 适用院校专业"/>
      <w:bookmarkEnd w:id="6"/>
      <w:r>
        <w:rPr>
          <w:rFonts w:hint="eastAsia" w:ascii="黑体" w:eastAsia="黑体"/>
          <w:sz w:val="24"/>
        </w:rPr>
        <w:t>适用院校专业</w:t>
      </w:r>
    </w:p>
    <w:p>
      <w:pPr>
        <w:pStyle w:val="4"/>
        <w:spacing w:before="11"/>
        <w:rPr>
          <w:rFonts w:ascii="黑体"/>
          <w:sz w:val="22"/>
        </w:rPr>
      </w:pPr>
    </w:p>
    <w:p>
      <w:pPr>
        <w:pStyle w:val="4"/>
        <w:spacing w:line="468" w:lineRule="auto"/>
        <w:ind w:left="520" w:right="397" w:firstLine="480"/>
      </w:pPr>
      <w:bookmarkStart w:id="7" w:name="中等职业学校:"/>
      <w:bookmarkEnd w:id="7"/>
      <w:r>
        <w:rPr>
          <w:spacing w:val="-6"/>
        </w:rPr>
        <w:t>中等职业学校:农产品营销与储运、农产品保鲜与加工、粮油饲料加工技术、</w:t>
      </w:r>
      <w:r>
        <w:rPr>
          <w:spacing w:val="-7"/>
        </w:rPr>
        <w:t>粮油储运与检验技术、现代农艺技术、设施农业生产技术、食品生物工艺、种子</w:t>
      </w:r>
      <w:r>
        <w:rPr>
          <w:spacing w:val="-13"/>
        </w:rPr>
        <w:t>生产与经营、植物保护、果蔬花卉生产技术、茶叶生产与加工、营养与保健、药品食品检验、物流服务与管理、产品质量监督检验、电子与信息技术、电子技术应用等专业。</w:t>
      </w:r>
    </w:p>
    <w:p>
      <w:pPr>
        <w:pStyle w:val="4"/>
        <w:spacing w:before="2" w:line="468" w:lineRule="auto"/>
        <w:ind w:left="520" w:right="425" w:firstLine="480"/>
      </w:pPr>
      <w:bookmarkStart w:id="8" w:name="高等职业学校:"/>
      <w:bookmarkEnd w:id="8"/>
      <w:r>
        <w:t>高等职业学校:作物生产技术、现代农业技术、生态农业技术、种子生产与</w:t>
      </w:r>
      <w:r>
        <w:rPr>
          <w:spacing w:val="-1"/>
        </w:rPr>
        <w:t>经营、畜牧工程技术、设施农业与装备、农业生物技术、植物保护与检疫技术、</w:t>
      </w:r>
      <w:r>
        <w:rPr>
          <w:spacing w:val="-6"/>
        </w:rPr>
        <w:t>农产品加工与质量检测、绿色食品生产与检验、农产品流通与管理、饲料与动物</w:t>
      </w:r>
      <w:r>
        <w:rPr>
          <w:spacing w:val="-10"/>
        </w:rPr>
        <w:t>营养、水产养殖技术、污染修复与生态工程技术、安全健康与环保、农业电气化</w:t>
      </w:r>
      <w:r>
        <w:rPr>
          <w:spacing w:val="-12"/>
        </w:rPr>
        <w:t>技术、食品生物技术、农业生物技术、生物产品检验检疫、食品包装技术、食品</w:t>
      </w:r>
    </w:p>
    <w:p>
      <w:pPr>
        <w:pStyle w:val="4"/>
        <w:spacing w:before="2"/>
        <w:ind w:left="520"/>
      </w:pPr>
      <w:r>
        <w:rPr>
          <w:spacing w:val="-9"/>
        </w:rPr>
        <w:t>加工技术、酿酒技术、食品质量与安全、食品贮运与营销、食品检测技术、食品</w:t>
      </w:r>
    </w:p>
    <w:p>
      <w:pPr>
        <w:spacing w:after="0"/>
        <w:sectPr>
          <w:pgSz w:w="11910" w:h="16840"/>
          <w:pgMar w:top="1580" w:right="1280" w:bottom="1420" w:left="1280" w:header="0" w:footer="1153" w:gutter="0"/>
        </w:sectPr>
      </w:pPr>
    </w:p>
    <w:p>
      <w:pPr>
        <w:pStyle w:val="4"/>
        <w:spacing w:before="83" w:line="468" w:lineRule="auto"/>
        <w:ind w:left="520" w:right="397"/>
      </w:pPr>
      <w:r>
        <w:rPr>
          <w:spacing w:val="-8"/>
        </w:rPr>
        <w:t>营养与卫生、食品营养与检测、粮食工程技术、粮油储藏与检测技术、卫生检验</w:t>
      </w:r>
      <w:r>
        <w:rPr>
          <w:spacing w:val="-17"/>
        </w:rPr>
        <w:t>与检疫技术、商检技术、冷链物流技术与管理、质量管理与认证、应用电子技术、</w:t>
      </w:r>
      <w:r>
        <w:t>智能监控技术应用、物联网应用技术、信息统计与分析等专业。</w:t>
      </w:r>
    </w:p>
    <w:p>
      <w:pPr>
        <w:pStyle w:val="4"/>
        <w:spacing w:before="1" w:line="468" w:lineRule="auto"/>
        <w:ind w:left="520" w:right="397" w:firstLine="480"/>
      </w:pPr>
      <w:bookmarkStart w:id="9" w:name="应用型本科学校:"/>
      <w:bookmarkEnd w:id="9"/>
      <w:r>
        <w:t>应用型本科学校:农业资源与环境、资源环境科学、农学、农艺教育、农业</w:t>
      </w:r>
      <w:r>
        <w:rPr>
          <w:spacing w:val="-10"/>
        </w:rPr>
        <w:t>工程、种子科学与工程、应用生物科学、生物技术、植物科学与技术、设施农业</w:t>
      </w:r>
      <w:r>
        <w:rPr>
          <w:spacing w:val="-13"/>
        </w:rPr>
        <w:t>科学与工程、食品质量与安全、食品卫生与营养学、食品营养与检验教育、食品</w:t>
      </w:r>
      <w:r>
        <w:rPr>
          <w:spacing w:val="-18"/>
        </w:rPr>
        <w:t>科学与工程、粮食工程、乳品工程、水产养殖学、卫生检验与检疫、动植物检疫、</w:t>
      </w:r>
      <w:r>
        <w:t>卫生监督、信息管理与信息系统、大数据技术与运用等专业。</w:t>
      </w:r>
    </w:p>
    <w:p>
      <w:pPr>
        <w:pStyle w:val="8"/>
        <w:numPr>
          <w:ilvl w:val="0"/>
          <w:numId w:val="2"/>
        </w:numPr>
        <w:tabs>
          <w:tab w:val="left" w:pos="760"/>
        </w:tabs>
        <w:spacing w:before="2" w:after="0" w:line="240" w:lineRule="auto"/>
        <w:ind w:left="760" w:right="0" w:hanging="240"/>
        <w:jc w:val="left"/>
        <w:rPr>
          <w:rFonts w:hint="eastAsia" w:ascii="黑体" w:eastAsia="黑体"/>
          <w:sz w:val="24"/>
        </w:rPr>
      </w:pPr>
      <w:bookmarkStart w:id="10" w:name="5 面向职业岗位（群）"/>
      <w:bookmarkEnd w:id="10"/>
      <w:bookmarkStart w:id="11" w:name="5 面向职业岗位（群）"/>
      <w:bookmarkEnd w:id="11"/>
      <w:r>
        <w:rPr>
          <w:rFonts w:hint="eastAsia" w:ascii="黑体" w:eastAsia="黑体"/>
          <w:sz w:val="24"/>
        </w:rPr>
        <w:t>面向职业岗位（群）</w:t>
      </w:r>
    </w:p>
    <w:p>
      <w:pPr>
        <w:pStyle w:val="4"/>
        <w:spacing w:before="10"/>
        <w:rPr>
          <w:rFonts w:ascii="黑体"/>
          <w:sz w:val="22"/>
        </w:rPr>
      </w:pPr>
    </w:p>
    <w:p>
      <w:pPr>
        <w:pStyle w:val="8"/>
        <w:numPr>
          <w:ilvl w:val="0"/>
          <w:numId w:val="2"/>
        </w:numPr>
        <w:tabs>
          <w:tab w:val="left" w:pos="879"/>
          <w:tab w:val="left" w:pos="880"/>
        </w:tabs>
        <w:spacing w:before="83" w:after="0" w:line="240" w:lineRule="auto"/>
        <w:ind w:left="880" w:right="0" w:hanging="360"/>
        <w:jc w:val="left"/>
        <w:rPr>
          <w:rFonts w:hint="eastAsia" w:ascii="黑体" w:eastAsia="黑体"/>
          <w:sz w:val="24"/>
        </w:rPr>
      </w:pPr>
      <w:r>
        <w:rPr>
          <w:spacing w:val="-8"/>
        </w:rPr>
        <w:t>主要面向以</w:t>
      </w:r>
      <w:r>
        <w:rPr>
          <w:rFonts w:hint="eastAsia"/>
          <w:spacing w:val="-8"/>
          <w:lang w:eastAsia="zh-CN"/>
        </w:rPr>
        <w:t>鄂尔多斯市</w:t>
      </w:r>
      <w:r>
        <w:rPr>
          <w:spacing w:val="-8"/>
        </w:rPr>
        <w:t>为核心辐射</w:t>
      </w:r>
      <w:r>
        <w:rPr>
          <w:rFonts w:hint="eastAsia"/>
          <w:spacing w:val="-8"/>
          <w:lang w:eastAsia="zh-CN"/>
        </w:rPr>
        <w:t>内蒙古自治区</w:t>
      </w:r>
      <w:r>
        <w:rPr>
          <w:spacing w:val="-8"/>
        </w:rPr>
        <w:t>以及全国的中高档餐饮企业：包括宾馆、酒店等相关餐饮企事业。培养在生产、服务一线能从事餐饮、服务和基层管理工作，可从事岗位餐饮部助理经理、食品安全员、公共营养师、西式面点师、餐厅及厨房领班、餐饮营销主管等。</w:t>
      </w:r>
      <w:bookmarkStart w:id="12" w:name="6  职业技能要求"/>
      <w:bookmarkEnd w:id="12"/>
      <w:bookmarkStart w:id="13" w:name="6  职业技能要求"/>
      <w:bookmarkEnd w:id="13"/>
      <w:r>
        <w:rPr>
          <w:rFonts w:hint="eastAsia" w:ascii="黑体" w:eastAsia="黑体"/>
          <w:sz w:val="24"/>
        </w:rPr>
        <w:t>职业技能要求</w:t>
      </w:r>
    </w:p>
    <w:p>
      <w:pPr>
        <w:pStyle w:val="4"/>
        <w:spacing w:before="10"/>
        <w:rPr>
          <w:rFonts w:ascii="黑体"/>
          <w:sz w:val="22"/>
        </w:rPr>
      </w:pPr>
    </w:p>
    <w:p>
      <w:pPr>
        <w:pStyle w:val="8"/>
        <w:numPr>
          <w:ilvl w:val="1"/>
          <w:numId w:val="2"/>
        </w:numPr>
        <w:tabs>
          <w:tab w:val="left" w:pos="1119"/>
          <w:tab w:val="left" w:pos="1120"/>
        </w:tabs>
        <w:spacing w:before="0" w:after="0" w:line="240" w:lineRule="auto"/>
        <w:ind w:left="1120" w:right="0" w:hanging="600"/>
        <w:jc w:val="left"/>
        <w:rPr>
          <w:rFonts w:hint="eastAsia" w:ascii="黑体" w:eastAsia="黑体"/>
          <w:sz w:val="24"/>
        </w:rPr>
      </w:pPr>
      <w:bookmarkStart w:id="14" w:name="6.1  职业技能等级划分"/>
      <w:bookmarkEnd w:id="14"/>
      <w:bookmarkStart w:id="15" w:name="6.1  职业技能等级划分"/>
      <w:bookmarkEnd w:id="15"/>
      <w:r>
        <w:rPr>
          <w:rFonts w:hint="eastAsia" w:ascii="黑体" w:eastAsia="黑体"/>
          <w:sz w:val="24"/>
        </w:rPr>
        <w:t>职业技能等级划分</w:t>
      </w:r>
    </w:p>
    <w:p>
      <w:pPr>
        <w:pStyle w:val="4"/>
        <w:spacing w:before="11"/>
        <w:rPr>
          <w:rFonts w:ascii="黑体"/>
          <w:sz w:val="22"/>
        </w:rPr>
      </w:pPr>
    </w:p>
    <w:p>
      <w:pPr>
        <w:widowControl/>
        <w:spacing w:line="400" w:lineRule="exact"/>
        <w:jc w:val="left"/>
      </w:pPr>
      <w:r>
        <w:rPr>
          <w:rFonts w:ascii="宋体" w:hAnsi="宋体" w:eastAsia="宋体" w:cs="宋体"/>
          <w:spacing w:val="-6"/>
          <w:sz w:val="24"/>
          <w:szCs w:val="24"/>
          <w:lang w:val="zh-CN" w:eastAsia="zh-CN" w:bidi="zh-CN"/>
        </w:rPr>
        <w:t>本职业共设五个等级，分别为：</w:t>
      </w:r>
      <w:r>
        <w:rPr>
          <w:rFonts w:ascii="宋体" w:hAnsi="宋体" w:eastAsia="宋体" w:cs="宋体"/>
          <w:spacing w:val="-6"/>
          <w:sz w:val="24"/>
          <w:szCs w:val="24"/>
          <w:lang w:val="zh-CN" w:eastAsia="zh-CN" w:bidi="zh-CN"/>
        </w:rPr>
        <w:cr/>
      </w:r>
      <w:r>
        <w:rPr>
          <w:rFonts w:ascii="宋体" w:hAnsi="宋体" w:eastAsia="宋体" w:cs="宋体"/>
          <w:spacing w:val="-6"/>
          <w:sz w:val="24"/>
          <w:szCs w:val="24"/>
          <w:lang w:val="zh-CN" w:eastAsia="zh-CN" w:bidi="zh-CN"/>
        </w:rPr>
        <w:t xml:space="preserve">    初级（国家职业资格五级）、中级（国家职业资格四级）、高级（国家职业资格三级）、技师（国家职业资格二级）、高级技师（国家职业资格一级）</w:t>
      </w:r>
      <w:r>
        <w:rPr>
          <w:rFonts w:hint="eastAsia" w:cs="宋体"/>
          <w:spacing w:val="-6"/>
          <w:sz w:val="24"/>
          <w:szCs w:val="24"/>
          <w:lang w:val="zh-CN" w:eastAsia="zh-CN" w:bidi="zh-CN"/>
        </w:rPr>
        <w:t>，</w:t>
      </w:r>
      <w:r>
        <w:rPr>
          <w:rFonts w:hint="eastAsia"/>
          <w:spacing w:val="-6"/>
          <w:lang w:eastAsia="zh-CN"/>
        </w:rPr>
        <w:t>五</w:t>
      </w:r>
      <w:r>
        <w:rPr>
          <w:spacing w:val="-6"/>
        </w:rPr>
        <w:t>个级</w:t>
      </w:r>
      <w:r>
        <w:t>别依次递进，高级别涵盖低级别职业技能要求。</w:t>
      </w:r>
    </w:p>
    <w:p>
      <w:pPr>
        <w:pStyle w:val="8"/>
        <w:numPr>
          <w:ilvl w:val="1"/>
          <w:numId w:val="2"/>
        </w:numPr>
        <w:tabs>
          <w:tab w:val="left" w:pos="1119"/>
          <w:tab w:val="left" w:pos="1120"/>
        </w:tabs>
        <w:spacing w:before="1" w:after="0" w:line="240" w:lineRule="auto"/>
        <w:ind w:left="1120" w:right="0" w:hanging="600"/>
        <w:jc w:val="left"/>
        <w:rPr>
          <w:rFonts w:hint="eastAsia" w:ascii="黑体" w:eastAsia="黑体"/>
          <w:sz w:val="24"/>
        </w:rPr>
      </w:pPr>
      <w:bookmarkStart w:id="16" w:name="6.2  职业技能等级要求描述"/>
      <w:bookmarkEnd w:id="16"/>
      <w:bookmarkStart w:id="17" w:name="6.2  职业技能等级要求描述"/>
      <w:bookmarkEnd w:id="17"/>
      <w:r>
        <w:rPr>
          <w:rFonts w:hint="eastAsia" w:ascii="黑体" w:eastAsia="黑体"/>
          <w:sz w:val="24"/>
        </w:rPr>
        <w:t>职业技能等级要求描述</w:t>
      </w:r>
    </w:p>
    <w:p>
      <w:pPr>
        <w:pStyle w:val="4"/>
        <w:spacing w:before="10"/>
        <w:rPr>
          <w:rFonts w:ascii="黑体"/>
          <w:sz w:val="22"/>
        </w:rPr>
      </w:pPr>
    </w:p>
    <w:p>
      <w:pPr>
        <w:widowControl/>
        <w:spacing w:line="400" w:lineRule="exact"/>
        <w:jc w:val="center"/>
        <w:rPr>
          <w:rFonts w:ascii="宋体" w:hAnsi="宋体" w:eastAsia="宋体" w:cs="Times New Roman"/>
          <w:kern w:val="0"/>
          <w:sz w:val="28"/>
          <w:szCs w:val="28"/>
        </w:rPr>
      </w:pPr>
      <w:bookmarkStart w:id="18" w:name="参考文献"/>
      <w:bookmarkEnd w:id="18"/>
      <w:r>
        <w:rPr>
          <w:rFonts w:ascii="宋体" w:hAnsi="宋体" w:eastAsia="宋体" w:cs="Times New Roman"/>
          <w:b/>
          <w:bCs/>
          <w:color w:val="000000"/>
          <w:kern w:val="0"/>
          <w:sz w:val="28"/>
          <w:szCs w:val="28"/>
        </w:rPr>
        <w:t>3.工作要求</w:t>
      </w:r>
    </w:p>
    <w:p>
      <w:pPr>
        <w:widowControl/>
        <w:spacing w:line="400" w:lineRule="exact"/>
        <w:jc w:val="left"/>
        <w:rPr>
          <w:rFonts w:ascii="宋体" w:hAnsi="宋体" w:eastAsia="宋体" w:cs="Times New Roman"/>
          <w:kern w:val="0"/>
          <w:sz w:val="22"/>
          <w:szCs w:val="24"/>
        </w:rPr>
      </w:pPr>
      <w:r>
        <w:rPr>
          <w:rFonts w:ascii="宋体" w:hAnsi="宋体" w:eastAsia="宋体" w:cs="Times New Roman"/>
          <w:kern w:val="0"/>
          <w:sz w:val="22"/>
          <w:szCs w:val="24"/>
        </w:rPr>
        <w:t>本标准对初级、中级、高级、技师和高级技师的技能要求依次递进，高级别涵盖低级级别的要求。</w:t>
      </w:r>
    </w:p>
    <w:p>
      <w:pPr>
        <w:widowControl/>
        <w:spacing w:line="400" w:lineRule="exact"/>
        <w:jc w:val="left"/>
        <w:rPr>
          <w:rFonts w:ascii="宋体" w:hAnsi="宋体" w:eastAsia="宋体" w:cs="Times New Roman"/>
          <w:b/>
          <w:kern w:val="0"/>
          <w:sz w:val="22"/>
          <w:szCs w:val="24"/>
        </w:rPr>
      </w:pPr>
      <w:r>
        <w:rPr>
          <w:rFonts w:ascii="宋体" w:hAnsi="宋体" w:eastAsia="宋体" w:cs="Times New Roman"/>
          <w:b/>
          <w:color w:val="000000"/>
          <w:kern w:val="0"/>
          <w:sz w:val="22"/>
        </w:rPr>
        <w:t>3.1  初级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1739"/>
        <w:gridCol w:w="3014"/>
        <w:gridCol w:w="34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职业功能</w:t>
            </w:r>
          </w:p>
        </w:tc>
        <w:tc>
          <w:tcPr>
            <w:tcW w:w="1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工作内容</w:t>
            </w:r>
          </w:p>
        </w:tc>
        <w:tc>
          <w:tcPr>
            <w:tcW w:w="3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技能要求</w:t>
            </w:r>
          </w:p>
        </w:tc>
        <w:tc>
          <w:tcPr>
            <w:tcW w:w="2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相关知识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36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一、混酥类糕点制作</w:t>
            </w:r>
          </w:p>
        </w:tc>
        <w:tc>
          <w:tcPr>
            <w:tcW w:w="1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（一）面团调制</w:t>
            </w:r>
          </w:p>
        </w:tc>
        <w:tc>
          <w:tcPr>
            <w:tcW w:w="3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1．能按配方对混酥面团进行配料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2．能按操作工艺调制混酥类面团</w:t>
            </w:r>
          </w:p>
        </w:tc>
        <w:tc>
          <w:tcPr>
            <w:tcW w:w="2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1．混酥面团主要原料的种类和工艺性能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2．混酥面团原料配料的方法与要求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3．计量设备的使用方法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25" w:hRule="atLeast"/>
        </w:trPr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（二）生坯成型</w:t>
            </w:r>
          </w:p>
        </w:tc>
        <w:tc>
          <w:tcPr>
            <w:tcW w:w="3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1．能制作塔类生坯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2．能制作排类生坯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3．能制作派类生坯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4．能制作饼干类生坯</w:t>
            </w:r>
          </w:p>
        </w:tc>
        <w:tc>
          <w:tcPr>
            <w:tcW w:w="2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1．制作生坯的工具、模具的种类、用途和使用保养知识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2．混酥类生坯成型的基本手法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0" w:type="auto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（三）混酥点心成熟</w:t>
            </w:r>
          </w:p>
        </w:tc>
        <w:tc>
          <w:tcPr>
            <w:tcW w:w="3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1．能用烤箱成熟塔类生坯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2．能用烤箱成熟排类生坯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3．能用烤箱成熟派类生坯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4．能用烤箱成熟饼干类生坯</w:t>
            </w:r>
          </w:p>
        </w:tc>
        <w:tc>
          <w:tcPr>
            <w:tcW w:w="2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1．烤箱的性能、使用与保养知识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2．混酥类点心成熟的工艺方法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3．混酥类点心成熟的注意事项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36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二、面包制作</w:t>
            </w:r>
          </w:p>
        </w:tc>
        <w:tc>
          <w:tcPr>
            <w:tcW w:w="1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（一）面团调制</w:t>
            </w:r>
          </w:p>
        </w:tc>
        <w:tc>
          <w:tcPr>
            <w:tcW w:w="3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1．能按软质面包配方配料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2．能按程序搅拌软质面包面团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3．能运用直接发酵法饧发软质面包面团</w:t>
            </w:r>
          </w:p>
        </w:tc>
        <w:tc>
          <w:tcPr>
            <w:tcW w:w="2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1．搅拌设备的使用方法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2．直接发酵法的发酵原理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3．软质面包发酵知识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65" w:hRule="atLeast"/>
        </w:trPr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（二）生坯成型（发酵）</w:t>
            </w:r>
          </w:p>
        </w:tc>
        <w:tc>
          <w:tcPr>
            <w:tcW w:w="3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1．能制作软质面包生坯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2．能使用饧发设备饧发软质面包生坯</w:t>
            </w:r>
          </w:p>
        </w:tc>
        <w:tc>
          <w:tcPr>
            <w:tcW w:w="2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1．软质面包生坯成型手法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2．饧法箱的使用方法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3．软质发酵面包烘焙知识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3" w:hRule="atLeast"/>
        </w:trPr>
        <w:tc>
          <w:tcPr>
            <w:tcW w:w="0" w:type="auto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（三）面包成熟</w:t>
            </w:r>
          </w:p>
        </w:tc>
        <w:tc>
          <w:tcPr>
            <w:tcW w:w="3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1．能运用烤箱成熟软质面包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2．能运用油炸锅成熟软质面包</w:t>
            </w:r>
          </w:p>
        </w:tc>
        <w:tc>
          <w:tcPr>
            <w:tcW w:w="2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1．面包成熟方法和注意事项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2．油炸锅的使用方法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3．软质面包成熟的鉴定方法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95" w:hRule="atLeast"/>
        </w:trPr>
        <w:tc>
          <w:tcPr>
            <w:tcW w:w="136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三、蛋糕制作与装饰</w:t>
            </w:r>
          </w:p>
        </w:tc>
        <w:tc>
          <w:tcPr>
            <w:tcW w:w="17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（一）面糊调制</w:t>
            </w:r>
          </w:p>
        </w:tc>
        <w:tc>
          <w:tcPr>
            <w:tcW w:w="3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1．能按海绵蛋糕配方配料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2．能按油脂蛋糕配方配料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3．能用全蛋搅拌法搅拌海绵蛋糕面糊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4．能用油糖搅拌法搅拌油脂蛋糕面糊</w:t>
            </w:r>
          </w:p>
        </w:tc>
        <w:tc>
          <w:tcPr>
            <w:tcW w:w="2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1．蛋糕的分类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2．搅拌机的使用方法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3．调制蛋糕面糊的工艺方法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90" w:hRule="atLeast"/>
        </w:trPr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（二）生坯成型</w:t>
            </w:r>
          </w:p>
        </w:tc>
        <w:tc>
          <w:tcPr>
            <w:tcW w:w="3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1．能用模具制作海绵蛋糕生坯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2．能用模具制作油脂蛋糕生坯</w:t>
            </w:r>
          </w:p>
        </w:tc>
        <w:tc>
          <w:tcPr>
            <w:tcW w:w="2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制作蛋糕的模具种类和用途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4" w:hRule="atLeast"/>
        </w:trPr>
        <w:tc>
          <w:tcPr>
            <w:tcW w:w="0" w:type="auto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（三）蛋糕成熟</w:t>
            </w:r>
          </w:p>
        </w:tc>
        <w:tc>
          <w:tcPr>
            <w:tcW w:w="3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1．能运用烤箱成熟海绵蛋糕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2．能运用烤箱成熟油脂蛋糕</w:t>
            </w:r>
          </w:p>
        </w:tc>
        <w:tc>
          <w:tcPr>
            <w:tcW w:w="2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1．蛋糕成熟的鉴定方法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2．蛋糕烘焙知识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6" w:hRule="atLeast"/>
        </w:trPr>
        <w:tc>
          <w:tcPr>
            <w:tcW w:w="136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四、果冻乳冻制作</w:t>
            </w:r>
          </w:p>
        </w:tc>
        <w:tc>
          <w:tcPr>
            <w:tcW w:w="1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（一）果冻调制</w:t>
            </w:r>
          </w:p>
        </w:tc>
        <w:tc>
          <w:tcPr>
            <w:tcW w:w="3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1．能按果冻配方配料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2．能煮制果冻液</w:t>
            </w:r>
          </w:p>
        </w:tc>
        <w:tc>
          <w:tcPr>
            <w:tcW w:w="2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1．凝固剂的种类、性能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2．凝固剂的使用方法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6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（二）果冻成型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1．能运用模具盛装果冻液</w:t>
            </w:r>
          </w:p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2．能运用冰箱冷藏果冻液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1．冰箱的使用方法</w:t>
            </w:r>
          </w:p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2．果冻成型的工艺方法和注意事项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30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（三）果冻装饰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1．能切配水果</w:t>
            </w:r>
          </w:p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2．能用水果点缀装饰果冻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1．水果的选用方法</w:t>
            </w:r>
          </w:p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2．水果的切配方法</w:t>
            </w:r>
          </w:p>
        </w:tc>
      </w:tr>
    </w:tbl>
    <w:p>
      <w:pPr>
        <w:widowControl/>
        <w:spacing w:line="400" w:lineRule="exact"/>
        <w:jc w:val="left"/>
        <w:rPr>
          <w:rFonts w:ascii="宋体" w:hAnsi="宋体" w:eastAsia="宋体" w:cs="Times New Roman"/>
          <w:b/>
          <w:kern w:val="0"/>
          <w:sz w:val="22"/>
          <w:szCs w:val="24"/>
        </w:rPr>
      </w:pPr>
      <w:r>
        <w:rPr>
          <w:rFonts w:ascii="宋体" w:hAnsi="宋体" w:eastAsia="宋体" w:cs="Times New Roman"/>
          <w:b/>
          <w:color w:val="000000"/>
          <w:kern w:val="0"/>
          <w:sz w:val="22"/>
        </w:rPr>
        <w:t>3.2  中级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2"/>
        <w:gridCol w:w="1024"/>
        <w:gridCol w:w="3673"/>
        <w:gridCol w:w="40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职业功能</w:t>
            </w:r>
          </w:p>
        </w:tc>
        <w:tc>
          <w:tcPr>
            <w:tcW w:w="1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工作内容</w:t>
            </w:r>
          </w:p>
        </w:tc>
        <w:tc>
          <w:tcPr>
            <w:tcW w:w="31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技能要求</w:t>
            </w:r>
          </w:p>
        </w:tc>
        <w:tc>
          <w:tcPr>
            <w:tcW w:w="3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相关知识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0" w:hRule="atLeast"/>
        </w:trPr>
        <w:tc>
          <w:tcPr>
            <w:tcW w:w="77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一、清酥类糕点制作</w:t>
            </w:r>
          </w:p>
        </w:tc>
        <w:tc>
          <w:tcPr>
            <w:tcW w:w="1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（一）面团调制</w:t>
            </w:r>
          </w:p>
        </w:tc>
        <w:tc>
          <w:tcPr>
            <w:tcW w:w="31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1．能按清酥面团配方进行配料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2．能搅拌冷水面团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3．能对油脂进行整形</w:t>
            </w:r>
          </w:p>
        </w:tc>
        <w:tc>
          <w:tcPr>
            <w:tcW w:w="3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1．清酥面团主要原料的种类和工艺性能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2．冷水面团的调制方法及注意事项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00" w:hRule="atLeast"/>
        </w:trPr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（二）生坯成型</w:t>
            </w:r>
          </w:p>
        </w:tc>
        <w:tc>
          <w:tcPr>
            <w:tcW w:w="31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1．能用冷水面团包裹油脂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2．能擀制、折叠清酥面团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3．能制作清酥类点心生坯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1．清酥面团的起酥原理</w:t>
            </w:r>
          </w:p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2．清酥面团的成型方法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0" w:type="auto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（三）清酥点心成熟</w:t>
            </w:r>
          </w:p>
        </w:tc>
        <w:tc>
          <w:tcPr>
            <w:tcW w:w="31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1．能设置清酥类点心烘烤温度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2．能运用烤箱成熟清酥类点心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清酥类点心成熟的注意事项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61" w:hRule="atLeast"/>
        </w:trPr>
        <w:tc>
          <w:tcPr>
            <w:tcW w:w="77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二、面包制作</w:t>
            </w:r>
          </w:p>
        </w:tc>
        <w:tc>
          <w:tcPr>
            <w:tcW w:w="1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（一）面团调制</w:t>
            </w:r>
          </w:p>
        </w:tc>
        <w:tc>
          <w:tcPr>
            <w:tcW w:w="31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1．能按硬质、脆皮面包配方配料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2．能按程序搅拌硬质、脆皮面包面团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3．能运用二次发酵法制作硬质、脆皮面包面团</w:t>
            </w:r>
          </w:p>
        </w:tc>
        <w:tc>
          <w:tcPr>
            <w:tcW w:w="3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3"/>
              </w:numPr>
              <w:spacing w:line="400" w:lineRule="exact"/>
              <w:ind w:left="360" w:hanging="360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硬质、脆皮面包的原料要求</w:t>
            </w:r>
          </w:p>
          <w:p>
            <w:pPr>
              <w:widowControl/>
              <w:numPr>
                <w:ilvl w:val="0"/>
                <w:numId w:val="3"/>
              </w:numPr>
              <w:spacing w:line="400" w:lineRule="exact"/>
              <w:ind w:left="360" w:hanging="360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硬质、脆皮面包面团搅拌的工艺方法</w:t>
            </w:r>
          </w:p>
          <w:p>
            <w:pPr>
              <w:widowControl/>
              <w:numPr>
                <w:ilvl w:val="0"/>
                <w:numId w:val="3"/>
              </w:numPr>
              <w:spacing w:line="400" w:lineRule="exact"/>
              <w:ind w:left="360" w:hanging="360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二次发酵法的工艺方法和注意事项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95" w:hRule="atLeast"/>
        </w:trPr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（二）生坯成型</w:t>
            </w:r>
          </w:p>
        </w:tc>
        <w:tc>
          <w:tcPr>
            <w:tcW w:w="31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1．能制作不同形状硬质、脆皮面包生坯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2．能用饧发设备发酵硬质、脆皮面包生坯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1．硬质、脆皮面包生坯成型的手法</w:t>
            </w:r>
          </w:p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2．硬质、脆皮面包发酵的注意事项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0" w:type="auto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（三）面包成熟</w:t>
            </w:r>
          </w:p>
        </w:tc>
        <w:tc>
          <w:tcPr>
            <w:tcW w:w="31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1．能用烤箱成熟硬质面包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2．能用烤箱成熟脆皮面包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硬质、脆皮面包的成熟原理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32" w:hRule="atLeast"/>
        </w:trPr>
        <w:tc>
          <w:tcPr>
            <w:tcW w:w="77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三、蛋糕制作与装饰</w:t>
            </w:r>
          </w:p>
        </w:tc>
        <w:tc>
          <w:tcPr>
            <w:tcW w:w="1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（一）蛋糕坯制作</w:t>
            </w:r>
          </w:p>
        </w:tc>
        <w:tc>
          <w:tcPr>
            <w:tcW w:w="31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1．能用分蛋法搅拌威风蛋糕面糊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2．能用模具成型威风蛋糕生坯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3．能用烤箱成熟威风蛋糕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4．能用蛋糕坯卷制卷筒蛋糕</w:t>
            </w:r>
          </w:p>
        </w:tc>
        <w:tc>
          <w:tcPr>
            <w:tcW w:w="3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1．分蛋法搅法的工艺方法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2．卷筒蛋糕的卷制方法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22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（二）裱花蛋糕抹面</w:t>
            </w:r>
          </w:p>
        </w:tc>
        <w:tc>
          <w:tcPr>
            <w:tcW w:w="31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1．能将蛋糕坯分层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2．能打发奶油和植脂鲜奶油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3．能用打发奶油夹层、抹面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4．能用打发植脂鲜奶油夹层、抹面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1、奶油、植脂鲜奶打发方法</w:t>
            </w:r>
          </w:p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2．蛋糕夹层、抹面的工艺方法和注意事项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03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03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（三）裱花蛋糕裱制</w:t>
            </w:r>
          </w:p>
        </w:tc>
        <w:tc>
          <w:tcPr>
            <w:tcW w:w="31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1．能裱挤花纹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2．能裱挤图案</w:t>
            </w:r>
          </w:p>
        </w:tc>
        <w:tc>
          <w:tcPr>
            <w:tcW w:w="353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1．裱花蛋糕的裱挤手法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2．美学色彩的基础知识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3．裱花蛋糕的构思、布局知识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39" w:hRule="atLeast"/>
        </w:trPr>
        <w:tc>
          <w:tcPr>
            <w:tcW w:w="77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四、泡芙制作</w:t>
            </w:r>
          </w:p>
        </w:tc>
        <w:tc>
          <w:tcPr>
            <w:tcW w:w="1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（一）面糊制作</w:t>
            </w:r>
          </w:p>
        </w:tc>
        <w:tc>
          <w:tcPr>
            <w:tcW w:w="31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1．能按泡芙配方配料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2．能烫制泡芙面糊</w:t>
            </w:r>
          </w:p>
        </w:tc>
        <w:tc>
          <w:tcPr>
            <w:tcW w:w="3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1．泡芙的一般配料知识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2．泡芙面糊烫制的工艺方法和注意事项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50" w:hRule="atLeast"/>
        </w:trPr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（二）生坯成型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1．能挤制泡芙面糊</w:t>
            </w:r>
          </w:p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2．能裱制泡芙面糊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泡芙成型的注意事项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</w:trPr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（三）生坯成熟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1．能用烤箱成熟泡芙面糊</w:t>
            </w:r>
          </w:p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2．能用油炸锅成熟泡芙面糊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泡芙成熟的工艺方法和注意事项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0" w:hRule="atLeast"/>
        </w:trPr>
        <w:tc>
          <w:tcPr>
            <w:tcW w:w="0" w:type="auto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（四）泡芙装饰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1．能用植脂鲜奶油、果酱对泡芙夹馅</w:t>
            </w:r>
          </w:p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2．能用巧克力、糖粉对泡芙表面装饰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泡芙装饰的饿工艺方法和注意事项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5" w:hRule="atLeast"/>
        </w:trPr>
        <w:tc>
          <w:tcPr>
            <w:tcW w:w="77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五、果冻乳冻制作</w:t>
            </w:r>
          </w:p>
        </w:tc>
        <w:tc>
          <w:tcPr>
            <w:tcW w:w="1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（一）乳冻调制</w:t>
            </w:r>
          </w:p>
        </w:tc>
        <w:tc>
          <w:tcPr>
            <w:tcW w:w="31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1．能按乳冻配方配料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2．能调制乳冻液</w:t>
            </w:r>
          </w:p>
        </w:tc>
        <w:tc>
          <w:tcPr>
            <w:tcW w:w="3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乳冻调制的工艺方法和注意事项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1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（二）乳冻成型</w:t>
            </w:r>
          </w:p>
        </w:tc>
        <w:tc>
          <w:tcPr>
            <w:tcW w:w="31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1．能用模具盛装乳冻液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2．能用冰箱冷藏乳冻液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乳冻成型的注意事项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11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03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（三）乳冻装饰</w:t>
            </w:r>
          </w:p>
        </w:tc>
        <w:tc>
          <w:tcPr>
            <w:tcW w:w="31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1．能用巧克力装饰乳冻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2．能用鲜奶油装饰乳冻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乳冻装饰的工艺</w:t>
            </w:r>
          </w:p>
        </w:tc>
      </w:tr>
    </w:tbl>
    <w:p>
      <w:pPr>
        <w:widowControl/>
        <w:spacing w:line="400" w:lineRule="exact"/>
        <w:jc w:val="left"/>
        <w:rPr>
          <w:rFonts w:ascii="宋体" w:hAnsi="宋体" w:eastAsia="宋体" w:cs="Times New Roman"/>
          <w:b/>
          <w:kern w:val="0"/>
          <w:sz w:val="22"/>
          <w:szCs w:val="24"/>
        </w:rPr>
      </w:pPr>
      <w:r>
        <w:rPr>
          <w:rFonts w:ascii="宋体" w:hAnsi="宋体" w:eastAsia="宋体" w:cs="Times New Roman"/>
          <w:b/>
          <w:color w:val="000000"/>
          <w:kern w:val="0"/>
          <w:sz w:val="22"/>
        </w:rPr>
        <w:t>3.3  高级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3"/>
        <w:gridCol w:w="1497"/>
        <w:gridCol w:w="2526"/>
        <w:gridCol w:w="36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职业功能</w:t>
            </w:r>
          </w:p>
        </w:tc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工作内容</w:t>
            </w:r>
          </w:p>
        </w:tc>
        <w:tc>
          <w:tcPr>
            <w:tcW w:w="2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技能要求</w:t>
            </w:r>
          </w:p>
        </w:tc>
        <w:tc>
          <w:tcPr>
            <w:tcW w:w="3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相关知识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43" w:hRule="atLeast"/>
        </w:trPr>
        <w:tc>
          <w:tcPr>
            <w:tcW w:w="11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一、手工巧克力制作及造型</w:t>
            </w:r>
          </w:p>
        </w:tc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（一）巧克力调温</w:t>
            </w:r>
          </w:p>
        </w:tc>
        <w:tc>
          <w:tcPr>
            <w:tcW w:w="2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1．能用双煮法调制巧克力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2．能用微波炉调制巧克力</w:t>
            </w:r>
          </w:p>
        </w:tc>
        <w:tc>
          <w:tcPr>
            <w:tcW w:w="3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1．巧克力的基础知识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2．双煮法的调制原理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3．微波炉调制巧克力的注意事项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79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（二）巧克力模具</w:t>
            </w:r>
          </w:p>
        </w:tc>
        <w:tc>
          <w:tcPr>
            <w:tcW w:w="2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1．能对巧克力进行夹馅、调味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2．能用模具成型巧克力</w:t>
            </w:r>
          </w:p>
        </w:tc>
        <w:tc>
          <w:tcPr>
            <w:tcW w:w="3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1．巧克力进行夹馅、调味的工艺方法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2．巧克力模具的使用知识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二、面包制作</w:t>
            </w:r>
          </w:p>
        </w:tc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（一）面团调制</w:t>
            </w:r>
          </w:p>
        </w:tc>
        <w:tc>
          <w:tcPr>
            <w:tcW w:w="2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1．能按羊角、丹麦面包配方配料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2．能搅拌羊角、丹麦面包面团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3．能擀制羊角、丹麦面包面团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4．能运用冰箱冷冻松弛面团</w:t>
            </w:r>
          </w:p>
        </w:tc>
        <w:tc>
          <w:tcPr>
            <w:tcW w:w="3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羊角、丹麦面包面团调制的工艺方法和注意事项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（二）生坯成型（饧发）</w:t>
            </w:r>
          </w:p>
        </w:tc>
        <w:tc>
          <w:tcPr>
            <w:tcW w:w="2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1．能制作羊角、丹麦面包生坯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2．能制作不同形状丹麦面包生坯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3．能用饧发设备饧发羊角、丹麦面包生坯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1．羊角、丹麦面包的成型手法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2．羊角、丹麦面包饧发的注意事项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0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（三）面包成熟</w:t>
            </w:r>
          </w:p>
        </w:tc>
        <w:tc>
          <w:tcPr>
            <w:tcW w:w="2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1．能用靠烤箱成熟羊角面包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2．能用烤箱成熟丹麦面包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1．面包成熟时热传递的形式</w:t>
            </w:r>
          </w:p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2．羊角、丹麦面包成熟的注意事项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5" w:hRule="atLeast"/>
        </w:trPr>
        <w:tc>
          <w:tcPr>
            <w:tcW w:w="11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三、蛋糕制作与装饰</w:t>
            </w:r>
          </w:p>
        </w:tc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（一）蛋糕覆面</w:t>
            </w:r>
          </w:p>
        </w:tc>
        <w:tc>
          <w:tcPr>
            <w:tcW w:w="2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1．能用巧克力淋面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2．能用果胶淋面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3．能用杏仁膏覆面</w:t>
            </w:r>
          </w:p>
        </w:tc>
        <w:tc>
          <w:tcPr>
            <w:tcW w:w="3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1．淋面工艺方法和注意事项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2．覆面的工艺方法和注意事项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9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（二）蛋糕装饰</w:t>
            </w:r>
          </w:p>
        </w:tc>
        <w:tc>
          <w:tcPr>
            <w:tcW w:w="2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1．能用水果装饰蛋糕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2．能用巧克力装饰蛋糕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3．能用杏仁膏捏塑装饰蛋糕</w:t>
            </w:r>
          </w:p>
        </w:tc>
        <w:tc>
          <w:tcPr>
            <w:tcW w:w="3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1．捏塑的基本手法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2．巧克力的应用手法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2" w:hRule="atLeast"/>
        </w:trPr>
        <w:tc>
          <w:tcPr>
            <w:tcW w:w="11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四、慕斯制作</w:t>
            </w:r>
          </w:p>
        </w:tc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（一）慕斯调制</w:t>
            </w:r>
          </w:p>
        </w:tc>
        <w:tc>
          <w:tcPr>
            <w:tcW w:w="2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1．能按慕斯配方配料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2．能制作慕斯糊</w:t>
            </w:r>
          </w:p>
        </w:tc>
        <w:tc>
          <w:tcPr>
            <w:tcW w:w="3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慕斯糊制作的工艺方法和注意事项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4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（二）慕斯成型蛋糕的成型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1．能用模具盛装慕斯糊</w:t>
            </w:r>
          </w:p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2．能用冰箱冷冻慕斯糊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慕斯成型的注意事项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03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（三）慕斯装饰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1．能用巧克力装饰慕斯</w:t>
            </w:r>
          </w:p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2．能用水果装饰慕斯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色彩搭配的基本知识</w:t>
            </w:r>
          </w:p>
        </w:tc>
      </w:tr>
    </w:tbl>
    <w:p>
      <w:pPr>
        <w:widowControl/>
        <w:spacing w:line="400" w:lineRule="exact"/>
        <w:jc w:val="left"/>
        <w:rPr>
          <w:rFonts w:ascii="宋体" w:hAnsi="宋体" w:eastAsia="宋体" w:cs="Times New Roman"/>
          <w:b/>
          <w:kern w:val="0"/>
          <w:sz w:val="22"/>
          <w:szCs w:val="24"/>
        </w:rPr>
      </w:pPr>
      <w:r>
        <w:rPr>
          <w:rFonts w:ascii="宋体" w:hAnsi="宋体" w:eastAsia="宋体" w:cs="Times New Roman"/>
          <w:b/>
          <w:color w:val="000000"/>
          <w:kern w:val="0"/>
          <w:sz w:val="22"/>
        </w:rPr>
        <w:t>3.4  技师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9"/>
        <w:gridCol w:w="1503"/>
        <w:gridCol w:w="2412"/>
        <w:gridCol w:w="35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9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职业功能</w:t>
            </w:r>
          </w:p>
        </w:tc>
        <w:tc>
          <w:tcPr>
            <w:tcW w:w="1503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工作内容</w:t>
            </w:r>
          </w:p>
        </w:tc>
        <w:tc>
          <w:tcPr>
            <w:tcW w:w="2412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技能要求</w:t>
            </w:r>
          </w:p>
        </w:tc>
        <w:tc>
          <w:tcPr>
            <w:tcW w:w="3458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相关知识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49" w:type="dxa"/>
            <w:vMerge w:val="restart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一、手工巧克力制作及造型</w:t>
            </w:r>
          </w:p>
        </w:tc>
        <w:tc>
          <w:tcPr>
            <w:tcW w:w="1503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（一）巧克力组合</w:t>
            </w:r>
          </w:p>
        </w:tc>
        <w:tc>
          <w:tcPr>
            <w:tcW w:w="2412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1．能自制制作巧克力配件的模具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2．能用模具制作巧克力配件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3．能手工将配件装配成巧克力组合</w:t>
            </w:r>
          </w:p>
        </w:tc>
        <w:tc>
          <w:tcPr>
            <w:tcW w:w="3458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1．巧克力配件的制作方法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2．巧克力造型的工艺方法和注意事项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67" w:hRule="atLeast"/>
        </w:trPr>
        <w:tc>
          <w:tcPr>
            <w:tcW w:w="0" w:type="auto"/>
            <w:vMerge w:val="continue"/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503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（二）巧克力装饰</w:t>
            </w:r>
          </w:p>
        </w:tc>
        <w:tc>
          <w:tcPr>
            <w:tcW w:w="2412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1．能用喷、描、涂的手法装饰巧克力造型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2．能用捏塑手法装饰巧克力造型</w:t>
            </w:r>
          </w:p>
        </w:tc>
        <w:tc>
          <w:tcPr>
            <w:tcW w:w="3458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1．捏塑的基本方法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2．艺术造型的美学知识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95" w:hRule="atLeast"/>
        </w:trPr>
        <w:tc>
          <w:tcPr>
            <w:tcW w:w="1149" w:type="dxa"/>
            <w:vMerge w:val="restart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二、糖艺组合品制作</w:t>
            </w:r>
          </w:p>
        </w:tc>
        <w:tc>
          <w:tcPr>
            <w:tcW w:w="1503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（一）砂糖熬制</w:t>
            </w:r>
          </w:p>
        </w:tc>
        <w:tc>
          <w:tcPr>
            <w:tcW w:w="2412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1．能按配方配制糖浆原料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2．能用专用器具熬糖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3．能将糖浆冷却制成糖坯</w:t>
            </w:r>
          </w:p>
        </w:tc>
        <w:tc>
          <w:tcPr>
            <w:tcW w:w="3458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熬糖基本原理和方法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7" w:hRule="atLeast"/>
        </w:trPr>
        <w:tc>
          <w:tcPr>
            <w:tcW w:w="0" w:type="auto"/>
            <w:vMerge w:val="continue"/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503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（二）成品制作</w:t>
            </w:r>
          </w:p>
        </w:tc>
        <w:tc>
          <w:tcPr>
            <w:tcW w:w="2412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1．能用工具成型单件糖艺制品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2．能用吹、拉、捏的方法成型单件糖艺制品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糖艺制作中吹、拉、捏的工艺方法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149" w:type="dxa"/>
            <w:vMerge w:val="restart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三、甜品制作</w:t>
            </w:r>
          </w:p>
        </w:tc>
        <w:tc>
          <w:tcPr>
            <w:tcW w:w="1503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（一）面糊调制</w:t>
            </w:r>
          </w:p>
        </w:tc>
        <w:tc>
          <w:tcPr>
            <w:tcW w:w="2412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1．能按布丁、苏夫利、乳酪蛋糕配方配料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2．能制作布丁、苏夫利、乳酪蛋糕面糊</w:t>
            </w:r>
          </w:p>
        </w:tc>
        <w:tc>
          <w:tcPr>
            <w:tcW w:w="3458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布丁、苏夫利、乳酪蛋糕制作的工艺方法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3" w:hRule="atLeast"/>
        </w:trPr>
        <w:tc>
          <w:tcPr>
            <w:tcW w:w="1149" w:type="dxa"/>
            <w:vMerge w:val="continue"/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503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（二）面糊成型</w:t>
            </w:r>
          </w:p>
        </w:tc>
        <w:tc>
          <w:tcPr>
            <w:tcW w:w="2412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1．能用模具成型布丁面糊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2．能用模具成型苏夫利面糊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3．能用模具成型乳酪</w:t>
            </w:r>
          </w:p>
        </w:tc>
        <w:tc>
          <w:tcPr>
            <w:tcW w:w="3458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甜品成型的注意事项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3" w:hRule="atLeast"/>
        </w:trPr>
        <w:tc>
          <w:tcPr>
            <w:tcW w:w="1149" w:type="dxa"/>
            <w:vMerge w:val="continue"/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503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（三）面糊成熟</w:t>
            </w:r>
          </w:p>
        </w:tc>
        <w:tc>
          <w:tcPr>
            <w:tcW w:w="2412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1．能用隔水法成熟苏夫利、乳酪蛋糕面糊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2．能用烤箱成熟苏夫利、乳酪蛋糕面糊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3．能用蒸锅成熟布丁面糊</w:t>
            </w:r>
          </w:p>
        </w:tc>
        <w:tc>
          <w:tcPr>
            <w:tcW w:w="3458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1．隔水、蒸锅成熟的工艺方法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2．成品成熟的基本原理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3．原料受热后的理化变化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4．食品色、香、味形成的基本原理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7" w:hRule="atLeast"/>
        </w:trPr>
        <w:tc>
          <w:tcPr>
            <w:tcW w:w="1149" w:type="dxa"/>
            <w:vMerge w:val="continue"/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503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（四）甜品装饰</w:t>
            </w:r>
          </w:p>
        </w:tc>
        <w:tc>
          <w:tcPr>
            <w:tcW w:w="2412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1．能用少司对成品表面进行装饰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2．能用少司、巧克力、水果、果汁对成品及器皿进行装饰</w:t>
            </w:r>
          </w:p>
        </w:tc>
        <w:tc>
          <w:tcPr>
            <w:tcW w:w="3458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1．器皿的选择与配置知识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2．图案与色彩的综合运用知识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7" w:hRule="atLeast"/>
        </w:trPr>
        <w:tc>
          <w:tcPr>
            <w:tcW w:w="1149" w:type="dxa"/>
            <w:vMerge w:val="restart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四、厨房管理</w:t>
            </w:r>
          </w:p>
        </w:tc>
        <w:tc>
          <w:tcPr>
            <w:tcW w:w="1503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（一）技术管理</w:t>
            </w:r>
          </w:p>
        </w:tc>
        <w:tc>
          <w:tcPr>
            <w:tcW w:w="2412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1．能配置厨房技术力量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2．能对高级以下西式面点师进行技术指导</w:t>
            </w:r>
          </w:p>
        </w:tc>
        <w:tc>
          <w:tcPr>
            <w:tcW w:w="3458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技术管理的基础知识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7" w:hRule="atLeast"/>
        </w:trPr>
        <w:tc>
          <w:tcPr>
            <w:tcW w:w="1149" w:type="dxa"/>
            <w:vMerge w:val="continue"/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503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（二）质量管理</w:t>
            </w:r>
          </w:p>
        </w:tc>
        <w:tc>
          <w:tcPr>
            <w:tcW w:w="2412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1．能对原料进行质量管理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2．能对生产过程进行质量管理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3．能对成品进行质量管理</w:t>
            </w:r>
          </w:p>
        </w:tc>
        <w:tc>
          <w:tcPr>
            <w:tcW w:w="3458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1．质量管理的基础知识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2．食品安全的基础知识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7" w:hRule="atLeast"/>
        </w:trPr>
        <w:tc>
          <w:tcPr>
            <w:tcW w:w="1149" w:type="dxa"/>
            <w:vMerge w:val="continue"/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503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（三）成本管理</w:t>
            </w:r>
          </w:p>
        </w:tc>
        <w:tc>
          <w:tcPr>
            <w:tcW w:w="2412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1．能对产品成本进行核算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2．能对产品成本进行控制</w:t>
            </w:r>
          </w:p>
        </w:tc>
        <w:tc>
          <w:tcPr>
            <w:tcW w:w="3458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1．宴会成本计算的方法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2．成本管理与控制的知识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7" w:hRule="atLeast"/>
        </w:trPr>
        <w:tc>
          <w:tcPr>
            <w:tcW w:w="1149" w:type="dxa"/>
            <w:vMerge w:val="continue"/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503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（四）菜单设计</w:t>
            </w:r>
          </w:p>
        </w:tc>
        <w:tc>
          <w:tcPr>
            <w:tcW w:w="2412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1．能按合理膳食的原则配制菜单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2．能按西方传统节日的要求配置点心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3．能按标准成本设计菜单</w:t>
            </w:r>
          </w:p>
        </w:tc>
        <w:tc>
          <w:tcPr>
            <w:tcW w:w="3458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1．世界主要国家的饮食文化习惯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2．菜单设计的方法和要求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7" w:hRule="atLeast"/>
        </w:trPr>
        <w:tc>
          <w:tcPr>
            <w:tcW w:w="1149" w:type="dxa"/>
            <w:vMerge w:val="restart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五、膳食管理</w:t>
            </w:r>
          </w:p>
        </w:tc>
        <w:tc>
          <w:tcPr>
            <w:tcW w:w="1503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（一）平衡膳食</w:t>
            </w:r>
          </w:p>
        </w:tc>
        <w:tc>
          <w:tcPr>
            <w:tcW w:w="2412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1．能根据不同人群制作不同点心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2．能根据季节制作时令点心</w:t>
            </w:r>
          </w:p>
        </w:tc>
        <w:tc>
          <w:tcPr>
            <w:tcW w:w="3458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1．食品营养的基础知识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2．各类人群的营养特点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3．时令点心的特点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7" w:hRule="atLeast"/>
        </w:trPr>
        <w:tc>
          <w:tcPr>
            <w:tcW w:w="1149" w:type="dxa"/>
            <w:vMerge w:val="continue"/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503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（二）营养配餐</w:t>
            </w:r>
          </w:p>
        </w:tc>
        <w:tc>
          <w:tcPr>
            <w:tcW w:w="2412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1．能为客人设计一天的营养配餐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2．能为特殊需求的客人设计一天的营养配餐</w:t>
            </w:r>
          </w:p>
        </w:tc>
        <w:tc>
          <w:tcPr>
            <w:tcW w:w="3458" w:type="dxa"/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营养配餐的基础知识</w:t>
            </w:r>
          </w:p>
        </w:tc>
      </w:tr>
    </w:tbl>
    <w:p>
      <w:pPr>
        <w:widowControl/>
        <w:spacing w:line="400" w:lineRule="exact"/>
        <w:jc w:val="left"/>
        <w:rPr>
          <w:rFonts w:ascii="宋体" w:hAnsi="宋体" w:eastAsia="宋体" w:cs="Times New Roman"/>
          <w:b/>
          <w:kern w:val="0"/>
          <w:sz w:val="22"/>
          <w:szCs w:val="24"/>
        </w:rPr>
      </w:pPr>
      <w:r>
        <w:rPr>
          <w:rFonts w:ascii="宋体" w:hAnsi="宋体" w:eastAsia="宋体" w:cs="Times New Roman"/>
          <w:b/>
          <w:color w:val="000000"/>
          <w:kern w:val="0"/>
          <w:sz w:val="22"/>
        </w:rPr>
        <w:t>3.5  高级技师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9"/>
        <w:gridCol w:w="1303"/>
        <w:gridCol w:w="3626"/>
        <w:gridCol w:w="34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职业功能</w:t>
            </w:r>
          </w:p>
        </w:tc>
        <w:tc>
          <w:tcPr>
            <w:tcW w:w="1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工作内容</w:t>
            </w:r>
          </w:p>
        </w:tc>
        <w:tc>
          <w:tcPr>
            <w:tcW w:w="3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技能要求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相关知识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9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一、蛋糕制作与装饰</w:t>
            </w:r>
          </w:p>
        </w:tc>
        <w:tc>
          <w:tcPr>
            <w:tcW w:w="1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（一）面团调制</w:t>
            </w:r>
          </w:p>
        </w:tc>
        <w:tc>
          <w:tcPr>
            <w:tcW w:w="3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1．能调制白帽糖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2．能调制杏仁膏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3．能调制巧克力面团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白帽糖、杏仁膏、巧克力面团调制的工艺方法和注意事项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98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（二）蛋糕装饰</w:t>
            </w:r>
          </w:p>
        </w:tc>
        <w:tc>
          <w:tcPr>
            <w:tcW w:w="3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1．能用白帽糖裱制装饰多层蛋糕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2．能用杏仁膏捏塑装饰多层蛋糕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3．能用巧克力面团捏塑装饰多层蛋糕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1．蛋糕造型的构思与布局方法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2．白帽糖、杏仁膏、巧克力面团装饰蛋糕的工艺方法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3．多层艺术造型蛋糕制作的注意事项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8" w:hRule="atLeast"/>
        </w:trPr>
        <w:tc>
          <w:tcPr>
            <w:tcW w:w="98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二、糖艺组合品制作</w:t>
            </w:r>
          </w:p>
        </w:tc>
        <w:tc>
          <w:tcPr>
            <w:tcW w:w="1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（一）糖艺配件制作</w:t>
            </w:r>
          </w:p>
        </w:tc>
        <w:tc>
          <w:tcPr>
            <w:tcW w:w="3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1．能自制制作糖艺配件的模具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2．能用模具浇注糖艺配件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3．能手工成型糖艺配件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sym w:font="宋体" w:char="E010"/>
            </w: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糖艺配件的制作方法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3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（二）糖艺作品组合</w:t>
            </w:r>
          </w:p>
        </w:tc>
        <w:tc>
          <w:tcPr>
            <w:tcW w:w="3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1．能用粘、贴方法进行糖艺作品组合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2．能用喷、粘、涂、画方法对糖艺作品进行整体装饰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1．美学知识</w:t>
            </w:r>
          </w:p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2．糖艺组合品的保存方法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0" w:hRule="atLeast"/>
        </w:trPr>
        <w:tc>
          <w:tcPr>
            <w:tcW w:w="9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三、技术培训</w:t>
            </w:r>
          </w:p>
        </w:tc>
        <w:tc>
          <w:tcPr>
            <w:tcW w:w="1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（一）指导工作</w:t>
            </w:r>
          </w:p>
        </w:tc>
        <w:tc>
          <w:tcPr>
            <w:tcW w:w="3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1．能对西式面点师技师及以下西式面点师进行技术培训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2．能撰写西式面点相关论文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论文写作知识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80" w:hRule="atLeast"/>
        </w:trPr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（二）知识讲座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1．能撰写教案</w:t>
            </w:r>
          </w:p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2．能讲授专业技术知识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4"/>
              </w:numPr>
              <w:ind w:left="360" w:hanging="360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教案编写方法</w:t>
            </w:r>
          </w:p>
          <w:p>
            <w:pPr>
              <w:widowControl/>
              <w:numPr>
                <w:ilvl w:val="0"/>
                <w:numId w:val="4"/>
              </w:numPr>
              <w:ind w:left="360" w:hanging="360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教育心理学一般知识</w:t>
            </w:r>
          </w:p>
          <w:p>
            <w:pPr>
              <w:widowControl/>
              <w:numPr>
                <w:ilvl w:val="0"/>
                <w:numId w:val="4"/>
              </w:numPr>
              <w:ind w:left="360" w:hanging="360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教学教法常识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0" w:type="auto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（三）操作指导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1．能制订培训计划和培训大纲</w:t>
            </w:r>
          </w:p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2．能编写个等级的试卷和评分标准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1．培训计划和培训大纲制订方法</w:t>
            </w:r>
          </w:p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2．教育管理学一般知识</w:t>
            </w:r>
          </w:p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3．西点制品的品质鉴定知识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93" w:hRule="atLeast"/>
        </w:trPr>
        <w:tc>
          <w:tcPr>
            <w:tcW w:w="98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四、技术创新</w:t>
            </w:r>
          </w:p>
        </w:tc>
        <w:tc>
          <w:tcPr>
            <w:tcW w:w="1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（一）技术研究</w:t>
            </w:r>
          </w:p>
        </w:tc>
        <w:tc>
          <w:tcPr>
            <w:tcW w:w="3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1能对西式面点行业的工艺难题进行研究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2能能与本行业的其他专家进行技术研究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5"/>
              </w:numPr>
              <w:spacing w:line="400" w:lineRule="exact"/>
              <w:ind w:left="360" w:hanging="360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西点制品的质量分析与缺陷纠正方法</w:t>
            </w:r>
          </w:p>
          <w:p>
            <w:pPr>
              <w:widowControl/>
              <w:numPr>
                <w:ilvl w:val="0"/>
                <w:numId w:val="5"/>
              </w:numPr>
              <w:spacing w:line="400" w:lineRule="exact"/>
              <w:ind w:left="360" w:hanging="360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食品主要化学成分在加热中的变化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jc w:val="both"/>
              <w:rPr>
                <w:rStyle w:val="6"/>
                <w:rFonts w:ascii="宋体" w:hAnsi="宋体" w:eastAsia="宋体" w:cs="宋体"/>
                <w:kern w:val="2"/>
                <w:sz w:val="28"/>
                <w:szCs w:val="22"/>
                <w:lang w:val="en-US" w:eastAsia="zh-CN" w:bidi="ar-SA"/>
              </w:rPr>
            </w:pPr>
          </w:p>
        </w:tc>
        <w:tc>
          <w:tcPr>
            <w:tcW w:w="1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（二）工艺创新</w:t>
            </w:r>
          </w:p>
        </w:tc>
        <w:tc>
          <w:tcPr>
            <w:tcW w:w="3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1．能利用老原料进行工艺创新</w:t>
            </w:r>
          </w:p>
          <w:p>
            <w:pPr>
              <w:widowControl/>
              <w:spacing w:line="400" w:lineRule="exact"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2．能利用新原料进行工艺开发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1．创新思维与创新理论 的知识</w:t>
            </w:r>
          </w:p>
          <w:p>
            <w:pPr>
              <w:widowControl/>
              <w:jc w:val="left"/>
              <w:rPr>
                <w:rStyle w:val="6"/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0"/>
                <w:sz w:val="22"/>
                <w:szCs w:val="24"/>
                <w:lang w:val="en-US" w:eastAsia="zh-CN" w:bidi="ar-SA"/>
              </w:rPr>
              <w:t>2．工艺创新与开发的方法</w:t>
            </w:r>
          </w:p>
        </w:tc>
      </w:tr>
    </w:tbl>
    <w:p>
      <w:pPr>
        <w:pStyle w:val="2"/>
        <w:ind w:left="2588" w:right="2588"/>
      </w:pPr>
      <w:r>
        <w:t>参考文献</w:t>
      </w:r>
    </w:p>
    <w:p>
      <w:pPr>
        <w:pStyle w:val="4"/>
        <w:rPr>
          <w:rFonts w:ascii="黑体"/>
          <w:sz w:val="20"/>
        </w:rPr>
      </w:pPr>
    </w:p>
    <w:p>
      <w:pPr>
        <w:pStyle w:val="4"/>
        <w:spacing w:before="8"/>
        <w:rPr>
          <w:rFonts w:ascii="黑体"/>
          <w:sz w:val="25"/>
        </w:rPr>
      </w:pPr>
    </w:p>
    <w:p>
      <w:pPr>
        <w:pStyle w:val="8"/>
        <w:numPr>
          <w:ilvl w:val="0"/>
          <w:numId w:val="6"/>
        </w:numPr>
        <w:tabs>
          <w:tab w:val="left" w:pos="940"/>
        </w:tabs>
        <w:spacing w:before="74" w:after="0" w:line="240" w:lineRule="auto"/>
        <w:ind w:left="940" w:right="0" w:hanging="420"/>
        <w:jc w:val="left"/>
        <w:rPr>
          <w:rFonts w:ascii="Times New Roman" w:eastAsia="Times New Roman"/>
          <w:sz w:val="24"/>
        </w:rPr>
      </w:pPr>
      <w:r>
        <w:rPr>
          <w:sz w:val="24"/>
        </w:rPr>
        <w:t>中华人民共和国食品安全法</w:t>
      </w:r>
      <w:r>
        <w:rPr>
          <w:rFonts w:ascii="Times New Roman" w:eastAsia="Times New Roman"/>
          <w:sz w:val="24"/>
        </w:rPr>
        <w:t>.</w:t>
      </w:r>
    </w:p>
    <w:p>
      <w:pPr>
        <w:pStyle w:val="4"/>
        <w:spacing w:before="5"/>
        <w:rPr>
          <w:rFonts w:ascii="Times New Roman"/>
          <w:sz w:val="25"/>
        </w:rPr>
      </w:pPr>
    </w:p>
    <w:p>
      <w:pPr>
        <w:pStyle w:val="8"/>
        <w:numPr>
          <w:ilvl w:val="0"/>
          <w:numId w:val="6"/>
        </w:numPr>
        <w:tabs>
          <w:tab w:val="left" w:pos="940"/>
        </w:tabs>
        <w:spacing w:before="0" w:after="0" w:line="240" w:lineRule="auto"/>
        <w:ind w:left="940" w:right="0" w:hanging="420"/>
        <w:jc w:val="left"/>
        <w:rPr>
          <w:rFonts w:ascii="Times New Roman" w:eastAsia="Times New Roman"/>
          <w:sz w:val="24"/>
        </w:rPr>
      </w:pPr>
      <w:r>
        <w:rPr>
          <w:sz w:val="24"/>
        </w:rPr>
        <w:t>中华人民共和国农产品质量安全法</w:t>
      </w:r>
      <w:r>
        <w:rPr>
          <w:rFonts w:ascii="Times New Roman" w:eastAsia="Times New Roman"/>
          <w:sz w:val="24"/>
        </w:rPr>
        <w:t>.</w:t>
      </w:r>
    </w:p>
    <w:p>
      <w:pPr>
        <w:pStyle w:val="4"/>
        <w:spacing w:before="5"/>
        <w:rPr>
          <w:rFonts w:ascii="Times New Roman"/>
          <w:sz w:val="25"/>
        </w:rPr>
      </w:pPr>
    </w:p>
    <w:p>
      <w:pPr>
        <w:pStyle w:val="8"/>
        <w:numPr>
          <w:ilvl w:val="0"/>
          <w:numId w:val="6"/>
        </w:numPr>
        <w:tabs>
          <w:tab w:val="left" w:pos="940"/>
        </w:tabs>
        <w:spacing w:before="0" w:after="0" w:line="240" w:lineRule="auto"/>
        <w:ind w:left="940" w:right="0" w:hanging="420"/>
        <w:jc w:val="left"/>
        <w:rPr>
          <w:rFonts w:ascii="Times New Roman" w:eastAsia="Times New Roman"/>
          <w:sz w:val="24"/>
        </w:rPr>
      </w:pPr>
      <w:r>
        <w:rPr>
          <w:sz w:val="24"/>
        </w:rPr>
        <w:t>中华人民共和国食品安全法实施条例</w:t>
      </w:r>
      <w:r>
        <w:rPr>
          <w:rFonts w:ascii="Times New Roman" w:eastAsia="Times New Roman"/>
          <w:sz w:val="24"/>
        </w:rPr>
        <w:t>.</w:t>
      </w:r>
    </w:p>
    <w:p>
      <w:pPr>
        <w:pStyle w:val="4"/>
        <w:spacing w:before="5"/>
        <w:rPr>
          <w:rFonts w:ascii="Times New Roman"/>
          <w:sz w:val="25"/>
        </w:rPr>
      </w:pPr>
    </w:p>
    <w:p>
      <w:pPr>
        <w:pStyle w:val="8"/>
        <w:numPr>
          <w:ilvl w:val="0"/>
          <w:numId w:val="6"/>
        </w:numPr>
        <w:tabs>
          <w:tab w:val="left" w:pos="940"/>
        </w:tabs>
        <w:spacing w:before="0" w:after="0" w:line="240" w:lineRule="auto"/>
        <w:ind w:left="940" w:right="0" w:hanging="420"/>
        <w:jc w:val="left"/>
        <w:rPr>
          <w:rFonts w:ascii="Times New Roman" w:eastAsia="Times New Roman"/>
          <w:sz w:val="24"/>
        </w:rPr>
      </w:pPr>
      <w:r>
        <w:rPr>
          <w:sz w:val="24"/>
        </w:rPr>
        <w:t>国家职业技能标准编制技术规程</w:t>
      </w:r>
      <w:r>
        <w:rPr>
          <w:rFonts w:ascii="Times New Roman" w:eastAsia="Times New Roman"/>
          <w:sz w:val="24"/>
        </w:rPr>
        <w:t>(2018</w:t>
      </w:r>
      <w:r>
        <w:rPr>
          <w:rFonts w:ascii="Times New Roman" w:eastAsia="Times New Roman"/>
          <w:spacing w:val="-1"/>
          <w:sz w:val="24"/>
        </w:rPr>
        <w:t xml:space="preserve"> </w:t>
      </w:r>
      <w:r>
        <w:rPr>
          <w:sz w:val="24"/>
        </w:rPr>
        <w:t>年版</w:t>
      </w:r>
      <w:r>
        <w:rPr>
          <w:rFonts w:ascii="Times New Roman" w:eastAsia="Times New Roman"/>
          <w:sz w:val="24"/>
        </w:rPr>
        <w:t>).</w:t>
      </w:r>
      <w:r>
        <w:rPr>
          <w:sz w:val="24"/>
        </w:rPr>
        <w:t>人社厅发</w:t>
      </w:r>
      <w:r>
        <w:rPr>
          <w:rFonts w:ascii="Times New Roman" w:eastAsia="Times New Roman"/>
          <w:sz w:val="24"/>
        </w:rPr>
        <w:t xml:space="preserve">[2018]26 </w:t>
      </w:r>
      <w:r>
        <w:rPr>
          <w:sz w:val="24"/>
        </w:rPr>
        <w:t>号</w:t>
      </w:r>
      <w:r>
        <w:rPr>
          <w:rFonts w:ascii="Times New Roman" w:eastAsia="Times New Roman"/>
          <w:sz w:val="24"/>
        </w:rPr>
        <w:t>.2018.</w:t>
      </w:r>
    </w:p>
    <w:p>
      <w:pPr>
        <w:pStyle w:val="4"/>
        <w:spacing w:before="5"/>
        <w:rPr>
          <w:rFonts w:ascii="Times New Roman"/>
          <w:sz w:val="25"/>
        </w:rPr>
      </w:pPr>
    </w:p>
    <w:p>
      <w:pPr>
        <w:pStyle w:val="8"/>
        <w:numPr>
          <w:ilvl w:val="0"/>
          <w:numId w:val="6"/>
        </w:numPr>
        <w:tabs>
          <w:tab w:val="left" w:pos="940"/>
        </w:tabs>
        <w:spacing w:before="0" w:after="0" w:line="240" w:lineRule="auto"/>
        <w:ind w:left="940" w:right="0" w:hanging="420"/>
        <w:jc w:val="left"/>
        <w:rPr>
          <w:rFonts w:ascii="Times New Roman" w:eastAsia="Times New Roman"/>
          <w:sz w:val="24"/>
        </w:rPr>
      </w:pPr>
      <w:r>
        <w:rPr>
          <w:sz w:val="24"/>
        </w:rPr>
        <w:t>农产品食品检验员</w:t>
      </w:r>
      <w:r>
        <w:rPr>
          <w:rFonts w:ascii="Times New Roman" w:eastAsia="Times New Roman"/>
          <w:spacing w:val="29"/>
          <w:sz w:val="24"/>
        </w:rPr>
        <w:t xml:space="preserve">. </w:t>
      </w:r>
      <w:r>
        <w:rPr>
          <w:sz w:val="24"/>
        </w:rPr>
        <w:t>职业编码：</w:t>
      </w:r>
      <w:r>
        <w:rPr>
          <w:rFonts w:ascii="Times New Roman" w:eastAsia="Times New Roman"/>
          <w:sz w:val="24"/>
        </w:rPr>
        <w:t>4-08-05-01.</w:t>
      </w:r>
      <w:r>
        <w:rPr>
          <w:rFonts w:ascii="Times New Roman" w:eastAsia="Times New Roman"/>
          <w:spacing w:val="2"/>
          <w:sz w:val="24"/>
        </w:rPr>
        <w:t xml:space="preserve"> </w:t>
      </w:r>
      <w:r>
        <w:rPr>
          <w:sz w:val="24"/>
        </w:rPr>
        <w:t>国家职业技能标准</w:t>
      </w:r>
      <w:r>
        <w:rPr>
          <w:rFonts w:ascii="Times New Roman" w:eastAsia="Times New Roman"/>
          <w:sz w:val="24"/>
        </w:rPr>
        <w:t>.</w:t>
      </w:r>
    </w:p>
    <w:p>
      <w:pPr>
        <w:pStyle w:val="4"/>
        <w:spacing w:before="5"/>
        <w:rPr>
          <w:rFonts w:ascii="Times New Roman"/>
          <w:sz w:val="25"/>
        </w:rPr>
      </w:pPr>
    </w:p>
    <w:p>
      <w:pPr>
        <w:pStyle w:val="8"/>
        <w:numPr>
          <w:ilvl w:val="0"/>
          <w:numId w:val="6"/>
        </w:numPr>
        <w:tabs>
          <w:tab w:val="left" w:pos="940"/>
        </w:tabs>
        <w:spacing w:before="0" w:after="0" w:line="240" w:lineRule="auto"/>
        <w:ind w:left="940" w:right="0" w:hanging="420"/>
        <w:jc w:val="left"/>
        <w:rPr>
          <w:rFonts w:ascii="Times New Roman" w:eastAsia="Times New Roman"/>
          <w:sz w:val="24"/>
        </w:rPr>
      </w:pPr>
      <w:r>
        <w:rPr>
          <w:sz w:val="24"/>
        </w:rPr>
        <w:t>（粮油）仓储管理员</w:t>
      </w:r>
      <w:r>
        <w:rPr>
          <w:rFonts w:ascii="Times New Roman" w:eastAsia="Times New Roman"/>
          <w:spacing w:val="29"/>
          <w:sz w:val="24"/>
        </w:rPr>
        <w:t xml:space="preserve">. </w:t>
      </w:r>
      <w:r>
        <w:rPr>
          <w:sz w:val="24"/>
        </w:rPr>
        <w:t>职业编码：</w:t>
      </w:r>
      <w:r>
        <w:rPr>
          <w:rFonts w:ascii="Times New Roman" w:eastAsia="Times New Roman"/>
          <w:sz w:val="24"/>
        </w:rPr>
        <w:t>4-02-06-01.</w:t>
      </w:r>
      <w:r>
        <w:rPr>
          <w:rFonts w:ascii="Times New Roman" w:eastAsia="Times New Roman"/>
          <w:spacing w:val="2"/>
          <w:sz w:val="24"/>
        </w:rPr>
        <w:t xml:space="preserve"> </w:t>
      </w:r>
      <w:r>
        <w:rPr>
          <w:sz w:val="24"/>
        </w:rPr>
        <w:t>国家职业技能标准</w:t>
      </w:r>
      <w:r>
        <w:rPr>
          <w:rFonts w:ascii="Times New Roman" w:eastAsia="Times New Roman"/>
          <w:sz w:val="24"/>
        </w:rPr>
        <w:t>.</w:t>
      </w:r>
    </w:p>
    <w:p>
      <w:pPr>
        <w:pStyle w:val="4"/>
        <w:spacing w:before="5"/>
        <w:rPr>
          <w:rFonts w:ascii="Times New Roman"/>
          <w:sz w:val="25"/>
        </w:rPr>
      </w:pPr>
    </w:p>
    <w:p>
      <w:pPr>
        <w:pStyle w:val="8"/>
        <w:numPr>
          <w:ilvl w:val="0"/>
          <w:numId w:val="6"/>
        </w:numPr>
        <w:tabs>
          <w:tab w:val="left" w:pos="940"/>
        </w:tabs>
        <w:spacing w:before="0" w:after="0" w:line="240" w:lineRule="auto"/>
        <w:ind w:left="940" w:right="0" w:hanging="420"/>
        <w:jc w:val="left"/>
        <w:rPr>
          <w:rFonts w:ascii="Times New Roman" w:eastAsia="Times New Roman"/>
          <w:sz w:val="24"/>
        </w:rPr>
      </w:pPr>
      <w:r>
        <w:rPr>
          <w:sz w:val="24"/>
        </w:rPr>
        <w:t>制米工</w:t>
      </w:r>
      <w:r>
        <w:rPr>
          <w:rFonts w:ascii="Times New Roman" w:eastAsia="Times New Roman"/>
          <w:spacing w:val="29"/>
          <w:sz w:val="24"/>
        </w:rPr>
        <w:t xml:space="preserve">. </w:t>
      </w:r>
      <w:r>
        <w:rPr>
          <w:sz w:val="24"/>
        </w:rPr>
        <w:t>职业编码：</w:t>
      </w:r>
      <w:r>
        <w:rPr>
          <w:rFonts w:ascii="Times New Roman" w:eastAsia="Times New Roman"/>
          <w:sz w:val="24"/>
        </w:rPr>
        <w:t xml:space="preserve">6-01-01-01.  </w:t>
      </w:r>
      <w:r>
        <w:rPr>
          <w:sz w:val="24"/>
        </w:rPr>
        <w:t>国家职业技能标准</w:t>
      </w:r>
      <w:r>
        <w:rPr>
          <w:rFonts w:ascii="Times New Roman" w:eastAsia="Times New Roman"/>
          <w:sz w:val="24"/>
        </w:rPr>
        <w:t>.</w:t>
      </w:r>
    </w:p>
    <w:p>
      <w:pPr>
        <w:pStyle w:val="4"/>
        <w:spacing w:before="5"/>
        <w:rPr>
          <w:rFonts w:ascii="Times New Roman"/>
          <w:sz w:val="25"/>
        </w:rPr>
      </w:pPr>
    </w:p>
    <w:p>
      <w:pPr>
        <w:pStyle w:val="8"/>
        <w:numPr>
          <w:ilvl w:val="0"/>
          <w:numId w:val="6"/>
        </w:numPr>
        <w:tabs>
          <w:tab w:val="left" w:pos="940"/>
        </w:tabs>
        <w:spacing w:before="0" w:after="0" w:line="240" w:lineRule="auto"/>
        <w:ind w:left="940" w:right="0" w:hanging="420"/>
        <w:jc w:val="left"/>
        <w:rPr>
          <w:rFonts w:ascii="Times New Roman" w:eastAsia="Times New Roman"/>
          <w:sz w:val="24"/>
        </w:rPr>
      </w:pPr>
      <w:r>
        <w:rPr>
          <w:sz w:val="24"/>
        </w:rPr>
        <w:t>制粉工</w:t>
      </w:r>
      <w:r>
        <w:rPr>
          <w:rFonts w:ascii="Times New Roman" w:eastAsia="Times New Roman"/>
          <w:spacing w:val="29"/>
          <w:sz w:val="24"/>
        </w:rPr>
        <w:t xml:space="preserve">. </w:t>
      </w:r>
      <w:r>
        <w:rPr>
          <w:sz w:val="24"/>
        </w:rPr>
        <w:t>职业编码：</w:t>
      </w:r>
      <w:r>
        <w:rPr>
          <w:rFonts w:ascii="Times New Roman" w:eastAsia="Times New Roman"/>
          <w:sz w:val="24"/>
        </w:rPr>
        <w:t xml:space="preserve">6-01-01-02.  </w:t>
      </w:r>
      <w:r>
        <w:rPr>
          <w:sz w:val="24"/>
        </w:rPr>
        <w:t>国家职业技能标准</w:t>
      </w:r>
      <w:r>
        <w:rPr>
          <w:rFonts w:ascii="Times New Roman" w:eastAsia="Times New Roman"/>
          <w:sz w:val="24"/>
        </w:rPr>
        <w:t>.</w:t>
      </w:r>
    </w:p>
    <w:p>
      <w:pPr>
        <w:pStyle w:val="4"/>
        <w:spacing w:before="5"/>
        <w:rPr>
          <w:rFonts w:ascii="Times New Roman"/>
          <w:sz w:val="25"/>
        </w:rPr>
      </w:pPr>
    </w:p>
    <w:p>
      <w:pPr>
        <w:pStyle w:val="8"/>
        <w:numPr>
          <w:ilvl w:val="0"/>
          <w:numId w:val="6"/>
        </w:numPr>
        <w:tabs>
          <w:tab w:val="left" w:pos="940"/>
        </w:tabs>
        <w:spacing w:before="0" w:after="0" w:line="240" w:lineRule="auto"/>
        <w:ind w:left="940" w:right="0" w:hanging="420"/>
        <w:jc w:val="left"/>
        <w:rPr>
          <w:rFonts w:ascii="Times New Roman" w:eastAsia="Times New Roman"/>
          <w:sz w:val="24"/>
        </w:rPr>
      </w:pPr>
      <w:r>
        <w:rPr>
          <w:sz w:val="24"/>
        </w:rPr>
        <w:t>制油工</w:t>
      </w:r>
      <w:r>
        <w:rPr>
          <w:rFonts w:ascii="Times New Roman" w:eastAsia="Times New Roman"/>
          <w:spacing w:val="29"/>
          <w:sz w:val="24"/>
        </w:rPr>
        <w:t xml:space="preserve">. </w:t>
      </w:r>
      <w:r>
        <w:rPr>
          <w:sz w:val="24"/>
        </w:rPr>
        <w:t>职业编码：</w:t>
      </w:r>
      <w:r>
        <w:rPr>
          <w:rFonts w:ascii="Times New Roman" w:eastAsia="Times New Roman"/>
          <w:sz w:val="24"/>
        </w:rPr>
        <w:t xml:space="preserve">6-01-01-03.  </w:t>
      </w:r>
      <w:r>
        <w:rPr>
          <w:sz w:val="24"/>
        </w:rPr>
        <w:t>国家职业技能标准</w:t>
      </w:r>
      <w:r>
        <w:rPr>
          <w:rFonts w:ascii="Times New Roman" w:eastAsia="Times New Roman"/>
          <w:sz w:val="24"/>
        </w:rPr>
        <w:t>.</w:t>
      </w:r>
    </w:p>
    <w:p>
      <w:pPr>
        <w:pStyle w:val="4"/>
        <w:spacing w:before="5"/>
        <w:rPr>
          <w:rFonts w:ascii="Times New Roman"/>
          <w:sz w:val="25"/>
        </w:rPr>
      </w:pPr>
    </w:p>
    <w:p>
      <w:pPr>
        <w:pStyle w:val="8"/>
        <w:numPr>
          <w:ilvl w:val="0"/>
          <w:numId w:val="6"/>
        </w:numPr>
        <w:tabs>
          <w:tab w:val="left" w:pos="940"/>
        </w:tabs>
        <w:spacing w:before="0" w:after="0" w:line="240" w:lineRule="auto"/>
        <w:ind w:left="940" w:right="0" w:hanging="420"/>
        <w:jc w:val="left"/>
        <w:rPr>
          <w:rFonts w:ascii="Times New Roman" w:eastAsia="Times New Roman"/>
          <w:sz w:val="24"/>
        </w:rPr>
      </w:pPr>
      <w:r>
        <w:rPr>
          <w:sz w:val="24"/>
        </w:rPr>
        <w:t>信息通信网络运行管理员</w:t>
      </w:r>
      <w:r>
        <w:rPr>
          <w:rFonts w:ascii="Times New Roman" w:eastAsia="Times New Roman"/>
          <w:sz w:val="24"/>
        </w:rPr>
        <w:t>.</w:t>
      </w:r>
      <w:r>
        <w:rPr>
          <w:sz w:val="24"/>
        </w:rPr>
        <w:t>职业编码：</w:t>
      </w:r>
      <w:r>
        <w:rPr>
          <w:rFonts w:ascii="Times New Roman" w:eastAsia="Times New Roman"/>
          <w:sz w:val="24"/>
        </w:rPr>
        <w:t>4-04-04-01.</w:t>
      </w:r>
      <w:r>
        <w:rPr>
          <w:rFonts w:ascii="Times New Roman" w:eastAsia="Times New Roman"/>
          <w:spacing w:val="1"/>
          <w:sz w:val="24"/>
        </w:rPr>
        <w:t xml:space="preserve"> </w:t>
      </w:r>
      <w:r>
        <w:rPr>
          <w:sz w:val="24"/>
        </w:rPr>
        <w:t>国家职业技能标准</w:t>
      </w:r>
      <w:r>
        <w:rPr>
          <w:rFonts w:ascii="Times New Roman" w:eastAsia="Times New Roman"/>
          <w:sz w:val="24"/>
        </w:rPr>
        <w:t>.</w:t>
      </w:r>
    </w:p>
    <w:p>
      <w:pPr>
        <w:pStyle w:val="4"/>
        <w:spacing w:before="5"/>
        <w:rPr>
          <w:rFonts w:ascii="Times New Roman"/>
          <w:sz w:val="25"/>
        </w:rPr>
      </w:pPr>
    </w:p>
    <w:p>
      <w:pPr>
        <w:pStyle w:val="8"/>
        <w:numPr>
          <w:ilvl w:val="0"/>
          <w:numId w:val="6"/>
        </w:numPr>
        <w:tabs>
          <w:tab w:val="left" w:pos="940"/>
        </w:tabs>
        <w:spacing w:before="0" w:after="0" w:line="240" w:lineRule="auto"/>
        <w:ind w:left="940" w:right="0" w:hanging="420"/>
        <w:jc w:val="left"/>
        <w:rPr>
          <w:rFonts w:ascii="Times New Roman" w:eastAsia="Times New Roman"/>
          <w:sz w:val="24"/>
        </w:rPr>
      </w:pPr>
      <w:r>
        <w:rPr>
          <w:sz w:val="24"/>
        </w:rPr>
        <w:t>贾玉娟</w:t>
      </w:r>
      <w:r>
        <w:rPr>
          <w:rFonts w:ascii="Times New Roman" w:eastAsia="Times New Roman"/>
          <w:sz w:val="24"/>
        </w:rPr>
        <w:t xml:space="preserve">, </w:t>
      </w:r>
      <w:r>
        <w:rPr>
          <w:sz w:val="24"/>
        </w:rPr>
        <w:t>刘永强</w:t>
      </w:r>
      <w:r>
        <w:rPr>
          <w:rFonts w:ascii="Times New Roman" w:eastAsia="Times New Roman"/>
          <w:sz w:val="24"/>
        </w:rPr>
        <w:t xml:space="preserve">, </w:t>
      </w:r>
      <w:r>
        <w:rPr>
          <w:sz w:val="24"/>
        </w:rPr>
        <w:t>孙向春</w:t>
      </w:r>
      <w:r>
        <w:rPr>
          <w:rFonts w:ascii="Times New Roman" w:eastAsia="Times New Roman"/>
          <w:sz w:val="24"/>
        </w:rPr>
        <w:t xml:space="preserve">. </w:t>
      </w:r>
      <w:r>
        <w:rPr>
          <w:sz w:val="24"/>
        </w:rPr>
        <w:t>农产品质量安全</w:t>
      </w:r>
      <w:r>
        <w:rPr>
          <w:rFonts w:ascii="Times New Roman" w:eastAsia="Times New Roman"/>
          <w:sz w:val="24"/>
        </w:rPr>
        <w:t xml:space="preserve">. </w:t>
      </w:r>
      <w:r>
        <w:rPr>
          <w:sz w:val="24"/>
        </w:rPr>
        <w:t>重庆大学出版社</w:t>
      </w:r>
      <w:r>
        <w:rPr>
          <w:rFonts w:ascii="Times New Roman" w:eastAsia="Times New Roman"/>
          <w:sz w:val="24"/>
        </w:rPr>
        <w:t>,2017.</w:t>
      </w:r>
    </w:p>
    <w:p>
      <w:pPr>
        <w:pStyle w:val="4"/>
        <w:spacing w:before="5"/>
        <w:rPr>
          <w:rFonts w:ascii="Times New Roman"/>
          <w:sz w:val="25"/>
        </w:rPr>
      </w:pPr>
    </w:p>
    <w:p>
      <w:pPr>
        <w:pStyle w:val="8"/>
        <w:numPr>
          <w:ilvl w:val="0"/>
          <w:numId w:val="6"/>
        </w:numPr>
        <w:tabs>
          <w:tab w:val="left" w:pos="940"/>
        </w:tabs>
        <w:spacing w:before="0" w:after="0" w:line="240" w:lineRule="auto"/>
        <w:ind w:left="940" w:right="0" w:hanging="420"/>
        <w:jc w:val="left"/>
        <w:rPr>
          <w:rFonts w:ascii="Times New Roman" w:eastAsia="Times New Roman"/>
          <w:sz w:val="24"/>
        </w:rPr>
      </w:pPr>
      <w:r>
        <w:rPr>
          <w:sz w:val="24"/>
        </w:rPr>
        <w:t>尤玉如</w:t>
      </w:r>
      <w:r>
        <w:rPr>
          <w:rFonts w:ascii="Times New Roman" w:eastAsia="Times New Roman"/>
          <w:sz w:val="24"/>
        </w:rPr>
        <w:t xml:space="preserve">, </w:t>
      </w:r>
      <w:r>
        <w:rPr>
          <w:sz w:val="24"/>
        </w:rPr>
        <w:t>张拥军</w:t>
      </w:r>
      <w:r>
        <w:rPr>
          <w:rFonts w:ascii="Times New Roman" w:eastAsia="Times New Roman"/>
          <w:sz w:val="24"/>
        </w:rPr>
        <w:t xml:space="preserve">, </w:t>
      </w:r>
      <w:r>
        <w:rPr>
          <w:sz w:val="24"/>
        </w:rPr>
        <w:t>刘士旺</w:t>
      </w:r>
      <w:r>
        <w:rPr>
          <w:rFonts w:ascii="Times New Roman" w:eastAsia="Times New Roman"/>
          <w:sz w:val="24"/>
        </w:rPr>
        <w:t xml:space="preserve">. </w:t>
      </w:r>
      <w:r>
        <w:rPr>
          <w:sz w:val="24"/>
        </w:rPr>
        <w:t>食品安全与质量控制</w:t>
      </w:r>
      <w:r>
        <w:rPr>
          <w:rFonts w:ascii="Times New Roman" w:eastAsia="Times New Roman"/>
          <w:sz w:val="24"/>
        </w:rPr>
        <w:t>.</w:t>
      </w:r>
      <w:r>
        <w:rPr>
          <w:sz w:val="24"/>
        </w:rPr>
        <w:t>中国轻工业出版社</w:t>
      </w:r>
      <w:r>
        <w:rPr>
          <w:rFonts w:ascii="Times New Roman" w:eastAsia="Times New Roman"/>
          <w:sz w:val="24"/>
        </w:rPr>
        <w:t>. 2008.</w:t>
      </w:r>
    </w:p>
    <w:p>
      <w:pPr>
        <w:pStyle w:val="4"/>
        <w:spacing w:before="5"/>
        <w:rPr>
          <w:rFonts w:ascii="Times New Roman"/>
          <w:sz w:val="25"/>
        </w:rPr>
      </w:pPr>
    </w:p>
    <w:p>
      <w:pPr>
        <w:pStyle w:val="8"/>
        <w:numPr>
          <w:ilvl w:val="0"/>
          <w:numId w:val="6"/>
        </w:numPr>
        <w:tabs>
          <w:tab w:val="left" w:pos="940"/>
        </w:tabs>
        <w:spacing w:before="0" w:after="0" w:line="240" w:lineRule="auto"/>
        <w:ind w:left="940" w:right="0" w:hanging="420"/>
        <w:jc w:val="left"/>
        <w:rPr>
          <w:rFonts w:ascii="Times New Roman" w:eastAsia="Times New Roman"/>
          <w:sz w:val="24"/>
        </w:rPr>
      </w:pPr>
      <w:r>
        <w:rPr>
          <w:sz w:val="24"/>
        </w:rPr>
        <w:t>刘雪梅</w:t>
      </w:r>
      <w:r>
        <w:rPr>
          <w:rFonts w:ascii="Times New Roman" w:eastAsia="Times New Roman"/>
          <w:sz w:val="24"/>
        </w:rPr>
        <w:t xml:space="preserve">, </w:t>
      </w:r>
      <w:r>
        <w:rPr>
          <w:sz w:val="24"/>
        </w:rPr>
        <w:t>罗晓</w:t>
      </w:r>
      <w:r>
        <w:rPr>
          <w:rFonts w:ascii="Times New Roman" w:eastAsia="Times New Roman"/>
          <w:sz w:val="24"/>
        </w:rPr>
        <w:t xml:space="preserve">. </w:t>
      </w:r>
      <w:r>
        <w:rPr>
          <w:sz w:val="24"/>
        </w:rPr>
        <w:t>环境监测</w:t>
      </w:r>
      <w:r>
        <w:rPr>
          <w:rFonts w:ascii="Times New Roman" w:eastAsia="Times New Roman"/>
          <w:sz w:val="24"/>
        </w:rPr>
        <w:t xml:space="preserve">. </w:t>
      </w:r>
      <w:r>
        <w:rPr>
          <w:sz w:val="24"/>
        </w:rPr>
        <w:t>电子科技大学出版社</w:t>
      </w:r>
      <w:r>
        <w:rPr>
          <w:rFonts w:ascii="Times New Roman" w:eastAsia="Times New Roman"/>
          <w:sz w:val="24"/>
        </w:rPr>
        <w:t>. 2017.</w:t>
      </w:r>
    </w:p>
    <w:p>
      <w:pPr>
        <w:pStyle w:val="4"/>
        <w:spacing w:before="5"/>
        <w:rPr>
          <w:rFonts w:ascii="Times New Roman"/>
          <w:sz w:val="25"/>
        </w:rPr>
      </w:pPr>
    </w:p>
    <w:p>
      <w:pPr>
        <w:pStyle w:val="8"/>
        <w:numPr>
          <w:ilvl w:val="0"/>
          <w:numId w:val="6"/>
        </w:numPr>
        <w:tabs>
          <w:tab w:val="left" w:pos="940"/>
        </w:tabs>
        <w:spacing w:before="0" w:after="0" w:line="240" w:lineRule="auto"/>
        <w:ind w:left="940" w:right="0" w:hanging="420"/>
        <w:jc w:val="left"/>
        <w:rPr>
          <w:rFonts w:ascii="Times New Roman" w:eastAsia="Times New Roman"/>
          <w:sz w:val="24"/>
        </w:rPr>
      </w:pPr>
      <w:r>
        <w:rPr>
          <w:sz w:val="24"/>
        </w:rPr>
        <w:t>艾启俊</w:t>
      </w:r>
      <w:r>
        <w:rPr>
          <w:rFonts w:ascii="Times New Roman" w:eastAsia="Times New Roman"/>
          <w:sz w:val="24"/>
        </w:rPr>
        <w:t xml:space="preserve">, </w:t>
      </w:r>
      <w:r>
        <w:rPr>
          <w:sz w:val="24"/>
        </w:rPr>
        <w:t>陈辉</w:t>
      </w:r>
      <w:r>
        <w:rPr>
          <w:rFonts w:ascii="Times New Roman" w:eastAsia="Times New Roman"/>
          <w:sz w:val="24"/>
        </w:rPr>
        <w:t xml:space="preserve">, </w:t>
      </w:r>
      <w:r>
        <w:rPr>
          <w:sz w:val="24"/>
        </w:rPr>
        <w:t>李里特</w:t>
      </w:r>
      <w:r>
        <w:rPr>
          <w:rFonts w:ascii="Times New Roman" w:eastAsia="Times New Roman"/>
          <w:sz w:val="24"/>
        </w:rPr>
        <w:t xml:space="preserve">, </w:t>
      </w:r>
      <w:r>
        <w:rPr>
          <w:sz w:val="24"/>
        </w:rPr>
        <w:t>等</w:t>
      </w:r>
      <w:r>
        <w:rPr>
          <w:rFonts w:ascii="Times New Roman" w:eastAsia="Times New Roman"/>
          <w:sz w:val="24"/>
        </w:rPr>
        <w:t xml:space="preserve">. </w:t>
      </w:r>
      <w:r>
        <w:rPr>
          <w:sz w:val="24"/>
        </w:rPr>
        <w:t>食品原料安全控制</w:t>
      </w:r>
      <w:r>
        <w:rPr>
          <w:rFonts w:ascii="Times New Roman" w:eastAsia="Times New Roman"/>
          <w:sz w:val="24"/>
        </w:rPr>
        <w:t xml:space="preserve">. </w:t>
      </w:r>
      <w:r>
        <w:rPr>
          <w:sz w:val="24"/>
        </w:rPr>
        <w:t>中国轻工业出版社</w:t>
      </w:r>
      <w:r>
        <w:rPr>
          <w:rFonts w:ascii="Times New Roman" w:eastAsia="Times New Roman"/>
          <w:sz w:val="24"/>
        </w:rPr>
        <w:t>. 2006.</w:t>
      </w:r>
    </w:p>
    <w:p>
      <w:pPr>
        <w:pStyle w:val="4"/>
        <w:spacing w:before="5"/>
        <w:rPr>
          <w:rFonts w:ascii="Times New Roman"/>
          <w:sz w:val="25"/>
        </w:rPr>
      </w:pPr>
    </w:p>
    <w:p>
      <w:pPr>
        <w:pStyle w:val="8"/>
        <w:numPr>
          <w:ilvl w:val="0"/>
          <w:numId w:val="6"/>
        </w:numPr>
        <w:tabs>
          <w:tab w:val="left" w:pos="940"/>
        </w:tabs>
        <w:spacing w:before="0" w:after="0" w:line="240" w:lineRule="auto"/>
        <w:ind w:left="940" w:right="0" w:hanging="420"/>
        <w:jc w:val="left"/>
        <w:rPr>
          <w:rFonts w:ascii="Times New Roman" w:eastAsia="Times New Roman"/>
          <w:sz w:val="24"/>
        </w:rPr>
      </w:pPr>
      <w:r>
        <w:rPr>
          <w:sz w:val="24"/>
        </w:rPr>
        <w:t>曾庆祝，冯力更</w:t>
      </w:r>
      <w:r>
        <w:rPr>
          <w:rFonts w:ascii="Times New Roman" w:eastAsia="Times New Roman"/>
          <w:sz w:val="24"/>
        </w:rPr>
        <w:t xml:space="preserve">. </w:t>
      </w:r>
      <w:r>
        <w:rPr>
          <w:sz w:val="24"/>
        </w:rPr>
        <w:t>食品安全保障技术</w:t>
      </w:r>
      <w:r>
        <w:rPr>
          <w:rFonts w:ascii="Times New Roman" w:eastAsia="Times New Roman"/>
          <w:sz w:val="24"/>
        </w:rPr>
        <w:t xml:space="preserve">. </w:t>
      </w:r>
      <w:r>
        <w:rPr>
          <w:sz w:val="24"/>
        </w:rPr>
        <w:t>中国商业出版社</w:t>
      </w:r>
      <w:r>
        <w:rPr>
          <w:rFonts w:ascii="Times New Roman" w:eastAsia="Times New Roman"/>
          <w:sz w:val="24"/>
        </w:rPr>
        <w:t>. 2008.</w:t>
      </w:r>
    </w:p>
    <w:p>
      <w:pPr>
        <w:pStyle w:val="4"/>
        <w:spacing w:before="5"/>
        <w:rPr>
          <w:rFonts w:ascii="Times New Roman"/>
          <w:sz w:val="25"/>
        </w:rPr>
      </w:pPr>
    </w:p>
    <w:p>
      <w:pPr>
        <w:pStyle w:val="8"/>
        <w:numPr>
          <w:ilvl w:val="0"/>
          <w:numId w:val="6"/>
        </w:numPr>
        <w:tabs>
          <w:tab w:val="left" w:pos="940"/>
        </w:tabs>
        <w:spacing w:before="1" w:after="0" w:line="240" w:lineRule="auto"/>
        <w:ind w:left="940" w:right="0" w:hanging="420"/>
        <w:jc w:val="left"/>
        <w:rPr>
          <w:rFonts w:ascii="Times New Roman" w:eastAsia="Times New Roman"/>
          <w:sz w:val="24"/>
        </w:rPr>
      </w:pPr>
      <w:r>
        <w:rPr>
          <w:sz w:val="24"/>
        </w:rPr>
        <w:t>柴兰琴，李晓军</w:t>
      </w:r>
      <w:r>
        <w:rPr>
          <w:rFonts w:ascii="Times New Roman" w:eastAsia="Times New Roman"/>
          <w:sz w:val="24"/>
        </w:rPr>
        <w:t xml:space="preserve">. </w:t>
      </w:r>
      <w:r>
        <w:rPr>
          <w:sz w:val="24"/>
        </w:rPr>
        <w:t>食品分析与食品安全</w:t>
      </w:r>
      <w:r>
        <w:rPr>
          <w:rFonts w:ascii="Times New Roman" w:eastAsia="Times New Roman"/>
          <w:sz w:val="24"/>
        </w:rPr>
        <w:t xml:space="preserve">. </w:t>
      </w:r>
      <w:r>
        <w:rPr>
          <w:sz w:val="24"/>
        </w:rPr>
        <w:t>西南交通大学出版社</w:t>
      </w:r>
      <w:r>
        <w:rPr>
          <w:rFonts w:ascii="Times New Roman" w:eastAsia="Times New Roman"/>
          <w:sz w:val="24"/>
        </w:rPr>
        <w:t>. 2010.</w:t>
      </w:r>
    </w:p>
    <w:p>
      <w:pPr>
        <w:pStyle w:val="4"/>
        <w:spacing w:before="4"/>
        <w:rPr>
          <w:rFonts w:ascii="Times New Roman"/>
          <w:sz w:val="25"/>
        </w:rPr>
      </w:pPr>
    </w:p>
    <w:p>
      <w:pPr>
        <w:pStyle w:val="8"/>
        <w:numPr>
          <w:ilvl w:val="0"/>
          <w:numId w:val="6"/>
        </w:numPr>
        <w:tabs>
          <w:tab w:val="left" w:pos="940"/>
        </w:tabs>
        <w:spacing w:before="1" w:after="0" w:line="468" w:lineRule="auto"/>
        <w:ind w:left="520" w:right="1625" w:firstLine="0"/>
        <w:jc w:val="left"/>
        <w:rPr>
          <w:rFonts w:ascii="Times New Roman" w:eastAsia="Times New Roman"/>
          <w:sz w:val="24"/>
        </w:rPr>
      </w:pPr>
      <w:r>
        <w:rPr>
          <w:sz w:val="24"/>
        </w:rPr>
        <w:t>李志香</w:t>
      </w:r>
      <w:r>
        <w:rPr>
          <w:rFonts w:ascii="Times New Roman" w:eastAsia="Times New Roman"/>
          <w:sz w:val="24"/>
        </w:rPr>
        <w:t xml:space="preserve">. </w:t>
      </w:r>
      <w:r>
        <w:rPr>
          <w:sz w:val="24"/>
        </w:rPr>
        <w:t>食品营养与安全技能实训教程</w:t>
      </w:r>
      <w:r>
        <w:rPr>
          <w:rFonts w:ascii="Times New Roman" w:eastAsia="Times New Roman"/>
          <w:sz w:val="24"/>
        </w:rPr>
        <w:t xml:space="preserve">. </w:t>
      </w:r>
      <w:r>
        <w:rPr>
          <w:sz w:val="24"/>
        </w:rPr>
        <w:t>中国轻工业出版社</w:t>
      </w:r>
      <w:r>
        <w:rPr>
          <w:rFonts w:ascii="Times New Roman" w:eastAsia="Times New Roman"/>
          <w:sz w:val="24"/>
        </w:rPr>
        <w:t xml:space="preserve">. </w:t>
      </w:r>
      <w:r>
        <w:rPr>
          <w:rFonts w:ascii="Times New Roman" w:eastAsia="Times New Roman"/>
          <w:spacing w:val="-4"/>
          <w:sz w:val="24"/>
        </w:rPr>
        <w:t xml:space="preserve">2014. </w:t>
      </w:r>
      <w:r>
        <w:rPr>
          <w:rFonts w:ascii="Times New Roman" w:eastAsia="Times New Roman"/>
          <w:sz w:val="24"/>
        </w:rPr>
        <w:t>[18]</w:t>
      </w:r>
      <w:r>
        <w:rPr>
          <w:sz w:val="24"/>
        </w:rPr>
        <w:t>付丽</w:t>
      </w:r>
      <w:r>
        <w:rPr>
          <w:rFonts w:ascii="Times New Roman" w:eastAsia="Times New Roman"/>
          <w:spacing w:val="29"/>
          <w:sz w:val="24"/>
        </w:rPr>
        <w:t xml:space="preserve">. </w:t>
      </w:r>
      <w:r>
        <w:rPr>
          <w:sz w:val="24"/>
        </w:rPr>
        <w:t>食品分析</w:t>
      </w:r>
      <w:r>
        <w:rPr>
          <w:rFonts w:ascii="Times New Roman" w:eastAsia="Times New Roman"/>
          <w:sz w:val="24"/>
        </w:rPr>
        <w:t xml:space="preserve">.  </w:t>
      </w:r>
      <w:r>
        <w:rPr>
          <w:sz w:val="24"/>
        </w:rPr>
        <w:t>重庆大学出版社</w:t>
      </w:r>
      <w:r>
        <w:rPr>
          <w:rFonts w:ascii="Times New Roman" w:eastAsia="Times New Roman"/>
          <w:sz w:val="24"/>
        </w:rPr>
        <w:t>. 2014.</w:t>
      </w:r>
    </w:p>
    <w:sectPr>
      <w:footerReference r:id="rId4" w:type="default"/>
      <w:pgSz w:w="11910" w:h="16840"/>
      <w:pgMar w:top="1500" w:right="1280" w:bottom="1340" w:left="1280" w:header="0" w:footer="1153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17D6ACC-ADBE-494A-BF3C-FF9E569259B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DFC1B093-294E-4138-BC45-5351F03A00C5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743E21A3-781B-4AC2-9999-4A18B77972D9}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12"/>
      </w:rPr>
    </w:pPr>
    <w:r>
      <w:pict>
        <v:shape id="_x0000_s2049" o:spid="_x0000_s2049" o:spt="202" type="#_x0000_t202" style="position:absolute;left:0pt;margin-left:293.4pt;margin-top:769.25pt;height:11pt;width:8.5pt;mso-position-horizontal-relative:page;mso-position-vertical-relative:page;z-index:-25459097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220" w:lineRule="exact"/>
                  <w:ind w:left="40" w:right="0" w:firstLine="0"/>
                  <w:jc w:val="left"/>
                  <w:rPr>
                    <w:sz w:val="18"/>
                  </w:rPr>
                </w:pP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7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0"/>
      </w:rPr>
    </w:pPr>
    <w:r>
      <w:pict>
        <v:shape id="_x0000_s2052" o:spid="_x0000_s2052" o:spt="202" type="#_x0000_t202" style="position:absolute;left:0pt;margin-left:291.15pt;margin-top:769.25pt;height:11pt;width:13.1pt;mso-position-horizontal-relative:page;mso-position-vertical-relative:page;z-index:-25458790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220" w:lineRule="exact"/>
                  <w:ind w:left="40" w:right="0" w:firstLine="0"/>
                  <w:jc w:val="left"/>
                  <w:rPr>
                    <w:sz w:val="18"/>
                  </w:rPr>
                </w:pP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30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"/>
      <w:lvlJc w:val="left"/>
      <w:pPr>
        <w:ind w:left="760" w:hanging="240"/>
        <w:jc w:val="left"/>
      </w:pPr>
      <w:rPr>
        <w:rFonts w:hint="default" w:ascii="黑体" w:hAnsi="黑体" w:eastAsia="黑体" w:cs="黑体"/>
        <w:w w:val="100"/>
        <w:sz w:val="24"/>
        <w:szCs w:val="24"/>
        <w:lang w:val="zh-CN" w:eastAsia="zh-CN" w:bidi="zh-CN"/>
      </w:rPr>
    </w:lvl>
    <w:lvl w:ilvl="1" w:tentative="0">
      <w:start w:val="1"/>
      <w:numFmt w:val="decimal"/>
      <w:lvlText w:val="%1.%2"/>
      <w:lvlJc w:val="left"/>
      <w:pPr>
        <w:ind w:left="1120" w:hanging="600"/>
        <w:jc w:val="left"/>
      </w:pPr>
      <w:rPr>
        <w:rFonts w:hint="default"/>
        <w:w w:val="100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120" w:hanging="60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148" w:hanging="60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176" w:hanging="60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204" w:hanging="60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233" w:hanging="60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261" w:hanging="60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289" w:hanging="600"/>
      </w:pPr>
      <w:rPr>
        <w:rFonts w:hint="default"/>
        <w:lang w:val="zh-CN" w:eastAsia="zh-CN" w:bidi="zh-CN"/>
      </w:rPr>
    </w:lvl>
  </w:abstractNum>
  <w:abstractNum w:abstractNumId="1">
    <w:nsid w:val="F0E89278"/>
    <w:multiLevelType w:val="multilevel"/>
    <w:tmpl w:val="F0E89278"/>
    <w:lvl w:ilvl="0" w:tentative="0">
      <w:start w:val="1"/>
      <w:numFmt w:val="decimal"/>
      <w:lvlText w:val="[%1]"/>
      <w:lvlJc w:val="left"/>
      <w:pPr>
        <w:ind w:left="940" w:hanging="420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4"/>
        <w:szCs w:val="24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780" w:hanging="42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621" w:hanging="42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461" w:hanging="42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02" w:hanging="42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143" w:hanging="42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983" w:hanging="42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824" w:hanging="42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664" w:hanging="420"/>
      </w:pPr>
      <w:rPr>
        <w:rFonts w:hint="default"/>
        <w:lang w:val="zh-CN" w:eastAsia="zh-CN" w:bidi="zh-CN"/>
      </w:rPr>
    </w:lvl>
  </w:abstractNum>
  <w:abstractNum w:abstractNumId="2">
    <w:nsid w:val="0053208E"/>
    <w:multiLevelType w:val="multilevel"/>
    <w:tmpl w:val="0053208E"/>
    <w:lvl w:ilvl="0" w:tentative="0">
      <w:start w:val="2"/>
      <w:numFmt w:val="decimal"/>
      <w:lvlText w:val="%1"/>
      <w:lvlJc w:val="left"/>
      <w:pPr>
        <w:ind w:left="757" w:hanging="238"/>
        <w:jc w:val="left"/>
      </w:pPr>
      <w:rPr>
        <w:rFonts w:hint="default" w:ascii="Arial Unicode MS" w:hAnsi="Arial Unicode MS" w:eastAsia="Arial Unicode MS" w:cs="Arial Unicode MS"/>
        <w:w w:val="88"/>
        <w:sz w:val="24"/>
        <w:szCs w:val="24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618" w:hanging="238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477" w:hanging="238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35" w:hanging="238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194" w:hanging="238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053" w:hanging="238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911" w:hanging="238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770" w:hanging="238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628" w:hanging="238"/>
      </w:pPr>
      <w:rPr>
        <w:rFonts w:hint="default"/>
        <w:lang w:val="zh-CN" w:eastAsia="zh-CN" w:bidi="zh-CN"/>
      </w:rPr>
    </w:lvl>
  </w:abstractNum>
  <w:abstractNum w:abstractNumId="3">
    <w:nsid w:val="010679A2"/>
    <w:multiLevelType w:val="multilevel"/>
    <w:tmpl w:val="010679A2"/>
    <w:lvl w:ilvl="0" w:tentative="0">
      <w:start w:val="1"/>
      <w:numFmt w:val="decimal"/>
      <w:lvlText w:val="%1．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21556B0A"/>
    <w:multiLevelType w:val="multilevel"/>
    <w:tmpl w:val="21556B0A"/>
    <w:lvl w:ilvl="0" w:tentative="0">
      <w:start w:val="1"/>
      <w:numFmt w:val="decimal"/>
      <w:lvlText w:val="%1．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5">
    <w:nsid w:val="63E0416C"/>
    <w:multiLevelType w:val="multilevel"/>
    <w:tmpl w:val="63E0416C"/>
    <w:lvl w:ilvl="0" w:tentative="0">
      <w:start w:val="1"/>
      <w:numFmt w:val="decimal"/>
      <w:lvlText w:val="%1．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compat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000000"/>
    <w:rsid w:val="52DF706D"/>
    <w:rsid w:val="56A77B59"/>
    <w:rsid w:val="6A852CD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0"/>
      <w:jc w:val="center"/>
      <w:outlineLvl w:val="1"/>
    </w:pPr>
    <w:rPr>
      <w:rFonts w:ascii="黑体" w:hAnsi="黑体" w:eastAsia="黑体" w:cs="黑体"/>
      <w:sz w:val="32"/>
      <w:szCs w:val="32"/>
      <w:lang w:val="zh-CN" w:eastAsia="zh-CN" w:bidi="zh-CN"/>
    </w:rPr>
  </w:style>
  <w:style w:type="paragraph" w:styleId="3">
    <w:name w:val="heading 2"/>
    <w:basedOn w:val="1"/>
    <w:next w:val="1"/>
    <w:qFormat/>
    <w:uiPriority w:val="1"/>
    <w:pPr>
      <w:ind w:left="1002" w:hanging="483"/>
      <w:outlineLvl w:val="2"/>
    </w:pPr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940" w:hanging="420"/>
    </w:pPr>
    <w:rPr>
      <w:rFonts w:ascii="宋体" w:hAnsi="宋体" w:eastAsia="宋体" w:cs="宋体"/>
      <w:lang w:val="zh-CN" w:eastAsia="zh-CN" w:bidi="zh-CN"/>
    </w:rPr>
  </w:style>
  <w:style w:type="paragraph" w:customStyle="1" w:styleId="9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2049"/>
    <customShpInfo spid="_x0000_s205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ScaleCrop>false</ScaleCrop>
  <LinksUpToDate>false</LinksUpToDate>
  <Application>WPS Office_11.1.0.10116_F1E327BC-269C-435d-A152-05C5408002CA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2020-06-08T10:25:00Z</dcterms:created>
  <dc:creator>Xu Bsheng</dc:creator>
  <cp:lastModifiedBy>antei</cp:lastModifiedBy>
  <dcterms:modified xsi:type="dcterms:W3CDTF">2021-03-02T08:01:12Z</dcterms:modified>
  <dc:title>职业技能等级标准开发工作指南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2020-03-15T00:00:00Z</vt:filetime>
  </property>
  <property fmtid="{D5CDD505-2E9C-101B-9397-08002B2CF9AE}" pid="3" name="Creator">
    <vt:lpwstr>WPS 文字</vt:lpwstr>
  </property>
  <property fmtid="{D5CDD505-2E9C-101B-9397-08002B2CF9AE}" pid="4" name="LastSaved">
    <vt:filetime>2020-06-08T00:00:00Z</vt:filetime>
  </property>
  <property fmtid="{D5CDD505-2E9C-101B-9397-08002B2CF9AE}" pid="5" name="KSOProductBuildVer">
    <vt:lpwstr>2052-11.1.0.10116</vt:lpwstr>
  </property>
</Properties>
</file>