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color w:val="000000" w:themeColor="text1"/>
          <w:kern w:val="0"/>
          <w:sz w:val="36"/>
          <w:szCs w:val="36"/>
          <w14:textFill>
            <w14:solidFill>
              <w14:schemeClr w14:val="tx1"/>
            </w14:solidFill>
          </w14:textFill>
        </w:rPr>
      </w:pPr>
    </w:p>
    <w:p>
      <w:pPr>
        <w:widowControl/>
        <w:jc w:val="center"/>
        <w:rPr>
          <w:rFonts w:ascii="宋体" w:hAnsi="宋体" w:cs="宋体"/>
          <w:color w:val="000000" w:themeColor="text1"/>
          <w:kern w:val="0"/>
          <w:sz w:val="36"/>
          <w:szCs w:val="36"/>
          <w14:textFill>
            <w14:solidFill>
              <w14:schemeClr w14:val="tx1"/>
            </w14:solidFill>
          </w14:textFill>
        </w:rPr>
      </w:pPr>
    </w:p>
    <w:p>
      <w:pPr>
        <w:widowControl/>
        <w:jc w:val="center"/>
        <w:rPr>
          <w:rFonts w:ascii="方正小标宋简体" w:hAnsi="方正小标宋简体" w:eastAsia="方正小标宋简体" w:cs="方正小标宋简体"/>
          <w:color w:val="000000" w:themeColor="text1"/>
          <w:kern w:val="0"/>
          <w:sz w:val="52"/>
          <w:szCs w:val="52"/>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14:textFill>
            <w14:solidFill>
              <w14:schemeClr w14:val="tx1"/>
            </w14:solidFill>
          </w14:textFill>
        </w:rPr>
        <w:t xml:space="preserve">   </w:t>
      </w:r>
    </w:p>
    <w:p>
      <w:pPr>
        <w:widowControl/>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鄂尔多斯生态环境职业学院</w:t>
      </w:r>
    </w:p>
    <w:p>
      <w:pPr>
        <w:widowControl/>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三年制高职人才培养方案</w:t>
      </w: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专业</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汽车检测与维修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制订人</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王新刚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审核人</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制定日期</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ascii="仿宋_GB2312" w:hAnsi="仿宋_GB2312" w:eastAsia="仿宋_GB2312" w:cs="仿宋_GB2312"/>
                <w:color w:val="000000" w:themeColor="text1"/>
                <w:kern w:val="0"/>
                <w:sz w:val="32"/>
                <w:szCs w:val="32"/>
                <w14:textFill>
                  <w14:solidFill>
                    <w14:schemeClr w14:val="tx1"/>
                  </w14:solidFill>
                </w14:textFill>
              </w:rPr>
              <w:t>022</w:t>
            </w:r>
            <w:r>
              <w:rPr>
                <w:rFonts w:hint="eastAsia" w:ascii="仿宋_GB2312" w:hAnsi="仿宋_GB2312" w:eastAsia="仿宋_GB2312" w:cs="仿宋_GB2312"/>
                <w:color w:val="000000" w:themeColor="text1"/>
                <w:kern w:val="0"/>
                <w:sz w:val="32"/>
                <w:szCs w:val="32"/>
                <w14:textFill>
                  <w14:solidFill>
                    <w14:schemeClr w14:val="tx1"/>
                  </w14:solidFill>
                </w14:textFill>
              </w:rPr>
              <w:t>年1</w:t>
            </w:r>
            <w:r>
              <w:rPr>
                <w:rFonts w:ascii="仿宋_GB2312" w:hAnsi="仿宋_GB2312" w:eastAsia="仿宋_GB2312" w:cs="仿宋_GB2312"/>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月1日</w:t>
            </w:r>
          </w:p>
        </w:tc>
      </w:tr>
    </w:tbl>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jc w:val="center"/>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鄂尔多斯生态环境职业学院教务处制</w:t>
      </w:r>
    </w:p>
    <w:p>
      <w:pPr>
        <w:widowControl/>
        <w:jc w:val="center"/>
        <w:rPr>
          <w:rFonts w:ascii="黑体" w:hAnsi="黑体" w:eastAsia="黑体" w:cs="黑体"/>
          <w:color w:val="000000" w:themeColor="text1"/>
          <w:kern w:val="0"/>
          <w:sz w:val="32"/>
          <w:szCs w:val="32"/>
          <w14:textFill>
            <w14:solidFill>
              <w14:schemeClr w14:val="tx1"/>
            </w14:solidFill>
          </w14:textFill>
        </w:rPr>
        <w:sectPr>
          <w:footerReference r:id="rId3" w:type="default"/>
          <w:pgSz w:w="11906" w:h="16838"/>
          <w:pgMar w:top="2098" w:right="1474" w:bottom="1984" w:left="1587" w:header="851" w:footer="992" w:gutter="0"/>
          <w:pgNumType w:start="1"/>
          <w:cols w:space="720" w:num="1"/>
          <w:docGrid w:type="lines" w:linePitch="312" w:charSpace="0"/>
        </w:sectPr>
      </w:pPr>
      <w:r>
        <w:rPr>
          <w:rFonts w:hint="eastAsia" w:ascii="黑体" w:hAnsi="黑体" w:eastAsia="黑体" w:cs="黑体"/>
          <w:color w:val="000000" w:themeColor="text1"/>
          <w:kern w:val="0"/>
          <w:sz w:val="32"/>
          <w:szCs w:val="32"/>
          <w14:textFill>
            <w14:solidFill>
              <w14:schemeClr w14:val="tx1"/>
            </w14:solidFill>
          </w14:textFill>
        </w:rPr>
        <w:t>二○二二年十月</w:t>
      </w:r>
    </w:p>
    <w:sdt>
      <w:sdtPr>
        <w:rPr>
          <w:rFonts w:hint="eastAsia" w:ascii="方正小标宋简体" w:hAnsi="方正小标宋简体" w:eastAsia="方正小标宋简体" w:cs="方正小标宋简体"/>
          <w:color w:val="000000" w:themeColor="text1"/>
          <w:sz w:val="44"/>
          <w:szCs w:val="44"/>
          <w14:textFill>
            <w14:solidFill>
              <w14:schemeClr w14:val="tx1"/>
            </w14:solidFill>
          </w14:textFill>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000000" w:themeColor="text1"/>
          <w:sz w:val="21"/>
          <w:szCs w:val="22"/>
          <w14:textFill>
            <w14:solidFill>
              <w14:schemeClr w14:val="tx1"/>
            </w14:solidFill>
          </w14:textFill>
        </w:rPr>
      </w:sdtEndPr>
      <w:sdtContent>
        <w:p>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目录</w:t>
          </w:r>
        </w:p>
        <w:p>
          <w:pPr>
            <w:pStyle w:val="17"/>
            <w:tabs>
              <w:tab w:val="right" w:leader="dot" w:pos="8845"/>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fldChar w:fldCharType="begin"/>
          </w:r>
          <w:r>
            <w:instrText xml:space="preserve"> HYPERLINK \l "_Toc30087" </w:instrText>
          </w:r>
          <w:r>
            <w:fldChar w:fldCharType="separate"/>
          </w:r>
          <w:r>
            <w:rPr>
              <w:rFonts w:hint="eastAsia" w:ascii="黑体" w:hAnsi="黑体" w:eastAsia="黑体" w:cs="黑体"/>
              <w:bCs/>
              <w:szCs w:val="28"/>
            </w:rPr>
            <w:t>一、专业名称（专业代码）</w:t>
          </w:r>
          <w:r>
            <w:tab/>
          </w:r>
          <w:r>
            <w:fldChar w:fldCharType="begin"/>
          </w:r>
          <w:r>
            <w:instrText xml:space="preserve"> PAGEREF _Toc30087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"_Toc10415" </w:instrText>
          </w:r>
          <w:r>
            <w:fldChar w:fldCharType="separate"/>
          </w:r>
          <w:r>
            <w:rPr>
              <w:rFonts w:hint="eastAsia" w:ascii="黑体" w:hAnsi="黑体" w:eastAsia="黑体" w:cs="黑体"/>
              <w:bCs/>
              <w:szCs w:val="28"/>
            </w:rPr>
            <w:t>二、入学要求</w:t>
          </w:r>
          <w:r>
            <w:tab/>
          </w:r>
          <w:r>
            <w:fldChar w:fldCharType="begin"/>
          </w:r>
          <w:r>
            <w:instrText xml:space="preserve"> PAGEREF _Toc10415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"_Toc20397" </w:instrText>
          </w:r>
          <w:r>
            <w:fldChar w:fldCharType="separate"/>
          </w:r>
          <w:r>
            <w:rPr>
              <w:rFonts w:hint="eastAsia" w:ascii="黑体" w:hAnsi="黑体" w:eastAsia="黑体" w:cs="黑体"/>
              <w:bCs/>
              <w:szCs w:val="28"/>
            </w:rPr>
            <w:t>三、修业年限及学历</w:t>
          </w:r>
          <w:r>
            <w:tab/>
          </w:r>
          <w:r>
            <w:fldChar w:fldCharType="begin"/>
          </w:r>
          <w:r>
            <w:instrText xml:space="preserve"> PAGEREF _Toc20397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"_Toc27009" </w:instrText>
          </w:r>
          <w:r>
            <w:fldChar w:fldCharType="separate"/>
          </w:r>
          <w:r>
            <w:rPr>
              <w:rFonts w:hint="eastAsia" w:ascii="黑体" w:hAnsi="黑体" w:eastAsia="黑体" w:cs="黑体"/>
              <w:bCs/>
              <w:szCs w:val="28"/>
            </w:rPr>
            <w:t>四、职业面向</w:t>
          </w:r>
          <w:r>
            <w:tab/>
          </w:r>
          <w:r>
            <w:fldChar w:fldCharType="begin"/>
          </w:r>
          <w:r>
            <w:instrText xml:space="preserve"> PAGEREF _Toc27009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"_Toc16142" </w:instrText>
          </w:r>
          <w:r>
            <w:fldChar w:fldCharType="separate"/>
          </w:r>
          <w:r>
            <w:rPr>
              <w:rFonts w:hint="eastAsia" w:ascii="楷体_GB2312" w:hAnsi="楷体_GB2312" w:eastAsia="楷体_GB2312" w:cs="楷体_GB2312"/>
              <w:szCs w:val="28"/>
            </w:rPr>
            <w:t>（一）本专业职业面向（参照专业教学标准填写）</w:t>
          </w:r>
          <w:r>
            <w:tab/>
          </w:r>
          <w:r>
            <w:fldChar w:fldCharType="begin"/>
          </w:r>
          <w:r>
            <w:instrText xml:space="preserve"> PAGEREF _Toc16142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"_Toc9981" </w:instrText>
          </w:r>
          <w:r>
            <w:fldChar w:fldCharType="separate"/>
          </w:r>
          <w:r>
            <w:rPr>
              <w:rFonts w:hint="eastAsia" w:ascii="楷体_GB2312" w:hAnsi="楷体_GB2312" w:eastAsia="楷体_GB2312" w:cs="楷体_GB2312"/>
              <w:szCs w:val="28"/>
            </w:rPr>
            <w:t>（二）职业等级证书、行业企业标准和证书</w:t>
          </w:r>
          <w:r>
            <w:tab/>
          </w:r>
          <w:r>
            <w:fldChar w:fldCharType="begin"/>
          </w:r>
          <w:r>
            <w:instrText xml:space="preserve"> PAGEREF _Toc9981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"_Toc93" </w:instrText>
          </w:r>
          <w:r>
            <w:fldChar w:fldCharType="separate"/>
          </w:r>
          <w:r>
            <w:rPr>
              <w:rFonts w:hint="eastAsia" w:ascii="仿宋_GB2312" w:hAnsi="仿宋_GB2312" w:eastAsia="仿宋_GB2312" w:cs="仿宋_GB2312"/>
              <w:szCs w:val="28"/>
            </w:rPr>
            <w:t>1.通用证书</w:t>
          </w:r>
          <w:r>
            <w:tab/>
          </w:r>
          <w:r>
            <w:fldChar w:fldCharType="begin"/>
          </w:r>
          <w:r>
            <w:instrText xml:space="preserve"> PAGEREF _Toc93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"_Toc8164" </w:instrText>
          </w:r>
          <w:r>
            <w:fldChar w:fldCharType="separate"/>
          </w:r>
          <w:r>
            <w:rPr>
              <w:rFonts w:hint="eastAsia" w:ascii="仿宋_GB2312" w:hAnsi="仿宋_GB2312" w:eastAsia="仿宋_GB2312" w:cs="仿宋_GB2312"/>
              <w:szCs w:val="28"/>
            </w:rPr>
            <w:t>2.本专业职业资格证书</w:t>
          </w:r>
          <w:r>
            <w:tab/>
          </w:r>
          <w:r>
            <w:fldChar w:fldCharType="begin"/>
          </w:r>
          <w:r>
            <w:instrText xml:space="preserve"> PAGEREF _Toc8164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"_Toc24781" </w:instrText>
          </w:r>
          <w:r>
            <w:fldChar w:fldCharType="separate"/>
          </w:r>
          <w:r>
            <w:rPr>
              <w:rFonts w:hint="eastAsia" w:ascii="楷体_GB2312" w:hAnsi="楷体_GB2312" w:eastAsia="楷体_GB2312" w:cs="楷体_GB2312"/>
              <w:szCs w:val="28"/>
            </w:rPr>
            <w:t>（三）职业生涯发展路径</w:t>
          </w:r>
          <w:r>
            <w:tab/>
          </w:r>
          <w:r>
            <w:fldChar w:fldCharType="begin"/>
          </w:r>
          <w:r>
            <w:instrText xml:space="preserve"> PAGEREF _Toc24781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"_Toc7860" </w:instrText>
          </w:r>
          <w:r>
            <w:fldChar w:fldCharType="separate"/>
          </w:r>
          <w:r>
            <w:rPr>
              <w:rFonts w:hint="eastAsia" w:ascii="黑体" w:hAnsi="黑体" w:eastAsia="黑体" w:cs="黑体"/>
              <w:bCs/>
              <w:szCs w:val="28"/>
            </w:rPr>
            <w:t>五、培养目标与规格</w:t>
          </w:r>
          <w:r>
            <w:tab/>
          </w:r>
          <w:r>
            <w:fldChar w:fldCharType="begin"/>
          </w:r>
          <w:r>
            <w:instrText xml:space="preserve"> PAGEREF _Toc7860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"_Toc31453" </w:instrText>
          </w:r>
          <w:r>
            <w:fldChar w:fldCharType="separate"/>
          </w:r>
          <w:r>
            <w:rPr>
              <w:rFonts w:hint="eastAsia" w:ascii="楷体_GB2312" w:hAnsi="楷体_GB2312" w:eastAsia="楷体_GB2312" w:cs="楷体_GB2312"/>
              <w:bCs/>
              <w:szCs w:val="28"/>
            </w:rPr>
            <w:t>（一）培养目标</w:t>
          </w:r>
          <w:r>
            <w:tab/>
          </w:r>
          <w:r>
            <w:fldChar w:fldCharType="begin"/>
          </w:r>
          <w:r>
            <w:instrText xml:space="preserve"> PAGEREF _Toc31453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"_Toc20435" </w:instrText>
          </w:r>
          <w:r>
            <w:fldChar w:fldCharType="separate"/>
          </w:r>
          <w:r>
            <w:rPr>
              <w:rFonts w:hint="eastAsia" w:ascii="楷体" w:hAnsi="楷体" w:eastAsia="楷体" w:cs="楷体"/>
              <w:bCs/>
              <w:szCs w:val="28"/>
            </w:rPr>
            <w:t>（二）培养规格</w:t>
          </w:r>
          <w:r>
            <w:tab/>
          </w:r>
          <w:r>
            <w:fldChar w:fldCharType="begin"/>
          </w:r>
          <w:r>
            <w:instrText xml:space="preserve"> PAGEREF _Toc20435 \h </w:instrText>
          </w:r>
          <w:r>
            <w:fldChar w:fldCharType="separate"/>
          </w:r>
          <w:r>
            <w:t>4</w:t>
          </w:r>
          <w:r>
            <w:fldChar w:fldCharType="end"/>
          </w:r>
          <w:r>
            <w:fldChar w:fldCharType="end"/>
          </w:r>
        </w:p>
        <w:p>
          <w:pPr>
            <w:pStyle w:val="21"/>
            <w:tabs>
              <w:tab w:val="right" w:leader="dot" w:pos="8845"/>
            </w:tabs>
          </w:pPr>
          <w:r>
            <w:fldChar w:fldCharType="begin"/>
          </w:r>
          <w:r>
            <w:instrText xml:space="preserve"> HYPERLINK \l "_Toc9617" </w:instrText>
          </w:r>
          <w:r>
            <w:fldChar w:fldCharType="separate"/>
          </w:r>
          <w:r>
            <w:rPr>
              <w:rFonts w:hint="eastAsia" w:ascii="楷体" w:hAnsi="楷体" w:eastAsia="楷体" w:cs="楷体"/>
              <w:bCs/>
              <w:szCs w:val="28"/>
            </w:rPr>
            <w:t>（三）创新创业能力的培养</w:t>
          </w:r>
          <w:r>
            <w:tab/>
          </w:r>
          <w:r>
            <w:fldChar w:fldCharType="begin"/>
          </w:r>
          <w:r>
            <w:instrText xml:space="preserve"> PAGEREF _Toc9617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"_Toc13220" </w:instrText>
          </w:r>
          <w:r>
            <w:fldChar w:fldCharType="separate"/>
          </w:r>
          <w:r>
            <w:rPr>
              <w:rFonts w:hint="eastAsia" w:ascii="黑体" w:hAnsi="黑体" w:eastAsia="黑体" w:cs="黑体"/>
              <w:szCs w:val="28"/>
            </w:rPr>
            <w:t>六、课程设置及要求</w:t>
          </w:r>
          <w:r>
            <w:tab/>
          </w:r>
          <w:r>
            <w:fldChar w:fldCharType="begin"/>
          </w:r>
          <w:r>
            <w:instrText xml:space="preserve"> PAGEREF _Toc13220 \h </w:instrText>
          </w:r>
          <w:r>
            <w:fldChar w:fldCharType="separate"/>
          </w:r>
          <w:r>
            <w:t>7</w:t>
          </w:r>
          <w:r>
            <w:fldChar w:fldCharType="end"/>
          </w:r>
          <w:r>
            <w:fldChar w:fldCharType="end"/>
          </w:r>
        </w:p>
        <w:p>
          <w:pPr>
            <w:pStyle w:val="17"/>
            <w:tabs>
              <w:tab w:val="right" w:leader="dot" w:pos="8845"/>
            </w:tabs>
          </w:pPr>
          <w:r>
            <w:fldChar w:fldCharType="begin"/>
          </w:r>
          <w:r>
            <w:instrText xml:space="preserve"> HYPERLINK \l "_Toc29687" </w:instrText>
          </w:r>
          <w:r>
            <w:fldChar w:fldCharType="separate"/>
          </w:r>
          <w:r>
            <w:rPr>
              <w:rFonts w:hint="eastAsia" w:ascii="楷体_GB2312" w:hAnsi="楷体_GB2312" w:eastAsia="楷体_GB2312" w:cs="楷体_GB2312"/>
              <w:bCs/>
              <w:szCs w:val="28"/>
            </w:rPr>
            <w:t>（一）本专业公共基础课设置</w:t>
          </w:r>
          <w:r>
            <w:tab/>
          </w:r>
          <w:r>
            <w:fldChar w:fldCharType="begin"/>
          </w:r>
          <w:r>
            <w:instrText xml:space="preserve"> PAGEREF _Toc29687 \h </w:instrText>
          </w:r>
          <w:r>
            <w:fldChar w:fldCharType="separate"/>
          </w:r>
          <w:r>
            <w:t>7</w:t>
          </w:r>
          <w:r>
            <w:fldChar w:fldCharType="end"/>
          </w:r>
          <w:r>
            <w:fldChar w:fldCharType="end"/>
          </w:r>
        </w:p>
        <w:p>
          <w:pPr>
            <w:pStyle w:val="17"/>
            <w:tabs>
              <w:tab w:val="right" w:leader="dot" w:pos="8845"/>
            </w:tabs>
          </w:pPr>
          <w:r>
            <w:fldChar w:fldCharType="begin"/>
          </w:r>
          <w:r>
            <w:instrText xml:space="preserve"> HYPERLINK \l "_Toc27140" </w:instrText>
          </w:r>
          <w:r>
            <w:fldChar w:fldCharType="separate"/>
          </w:r>
          <w:r>
            <w:rPr>
              <w:rFonts w:hint="eastAsia" w:ascii="楷体_GB2312" w:hAnsi="楷体_GB2312" w:eastAsia="楷体_GB2312" w:cs="楷体_GB2312"/>
              <w:bCs/>
              <w:szCs w:val="28"/>
            </w:rPr>
            <w:t>（二）专业（技能）课设置</w:t>
          </w:r>
          <w:r>
            <w:tab/>
          </w:r>
          <w:r>
            <w:fldChar w:fldCharType="begin"/>
          </w:r>
          <w:r>
            <w:instrText xml:space="preserve"> PAGEREF _Toc27140 \h </w:instrText>
          </w:r>
          <w:r>
            <w:fldChar w:fldCharType="separate"/>
          </w:r>
          <w:r>
            <w:t>9</w:t>
          </w:r>
          <w:r>
            <w:fldChar w:fldCharType="end"/>
          </w:r>
          <w:r>
            <w:fldChar w:fldCharType="end"/>
          </w:r>
        </w:p>
        <w:p>
          <w:pPr>
            <w:pStyle w:val="17"/>
            <w:tabs>
              <w:tab w:val="right" w:leader="dot" w:pos="8845"/>
            </w:tabs>
          </w:pPr>
          <w:r>
            <w:fldChar w:fldCharType="begin"/>
          </w:r>
          <w:r>
            <w:instrText xml:space="preserve"> HYPERLINK \l "_Toc16060" </w:instrText>
          </w:r>
          <w:r>
            <w:fldChar w:fldCharType="separate"/>
          </w:r>
          <w:r>
            <w:rPr>
              <w:rFonts w:hint="eastAsia" w:ascii="黑体" w:hAnsi="黑体" w:eastAsia="黑体" w:cs="黑体"/>
              <w:bCs/>
              <w:szCs w:val="30"/>
            </w:rPr>
            <w:t>七、教学进程总体安排</w:t>
          </w:r>
          <w:r>
            <w:tab/>
          </w:r>
          <w:r>
            <w:fldChar w:fldCharType="begin"/>
          </w:r>
          <w:r>
            <w:instrText xml:space="preserve"> PAGEREF _Toc16060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"_Toc18477" </w:instrText>
          </w:r>
          <w:r>
            <w:fldChar w:fldCharType="separate"/>
          </w:r>
          <w:r>
            <w:rPr>
              <w:rFonts w:hint="eastAsia" w:ascii="楷体_GB2312" w:hAnsi="楷体_GB2312" w:eastAsia="楷体_GB2312" w:cs="楷体_GB2312"/>
              <w:bCs/>
              <w:szCs w:val="30"/>
            </w:rPr>
            <w:t>（一）教育教学时间安排表</w:t>
          </w:r>
          <w:r>
            <w:tab/>
          </w:r>
          <w:r>
            <w:fldChar w:fldCharType="begin"/>
          </w:r>
          <w:r>
            <w:instrText xml:space="preserve"> PAGEREF _Toc18477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"_Toc20608" </w:instrText>
          </w:r>
          <w:r>
            <w:fldChar w:fldCharType="separate"/>
          </w:r>
          <w:r>
            <w:rPr>
              <w:rFonts w:hint="eastAsia" w:ascii="楷体_GB2312" w:hAnsi="楷体_GB2312" w:eastAsia="楷体_GB2312" w:cs="楷体_GB2312"/>
              <w:bCs/>
              <w:szCs w:val="30"/>
            </w:rPr>
            <w:t>（二）理论与实践教学学时分配表</w:t>
          </w:r>
          <w:r>
            <w:tab/>
          </w:r>
          <w:r>
            <w:fldChar w:fldCharType="begin"/>
          </w:r>
          <w:r>
            <w:instrText xml:space="preserve"> PAGEREF _Toc20608 \h </w:instrText>
          </w:r>
          <w:r>
            <w:fldChar w:fldCharType="separate"/>
          </w:r>
          <w:r>
            <w:t>12</w:t>
          </w:r>
          <w:r>
            <w:fldChar w:fldCharType="end"/>
          </w:r>
          <w:r>
            <w:fldChar w:fldCharType="end"/>
          </w:r>
        </w:p>
        <w:p>
          <w:pPr>
            <w:pStyle w:val="21"/>
            <w:tabs>
              <w:tab w:val="right" w:leader="dot" w:pos="8845"/>
            </w:tabs>
          </w:pPr>
          <w:r>
            <w:fldChar w:fldCharType="begin"/>
          </w:r>
          <w:r>
            <w:instrText xml:space="preserve"> HYPERLINK \l "_Toc22338" </w:instrText>
          </w:r>
          <w:r>
            <w:fldChar w:fldCharType="separate"/>
          </w:r>
          <w:r>
            <w:rPr>
              <w:rFonts w:hint="eastAsia" w:ascii="楷体_GB2312" w:hAnsi="楷体_GB2312" w:eastAsia="楷体_GB2312" w:cs="楷体_GB2312"/>
              <w:bCs/>
              <w:szCs w:val="28"/>
            </w:rPr>
            <w:t>（三）教学进度安排计划表----必修课程设置及学分、学时、进程表</w:t>
          </w:r>
          <w:r>
            <w:tab/>
          </w:r>
          <w:r>
            <w:fldChar w:fldCharType="begin"/>
          </w:r>
          <w:r>
            <w:instrText xml:space="preserve"> PAGEREF _Toc22338 \h </w:instrText>
          </w:r>
          <w:r>
            <w:fldChar w:fldCharType="separate"/>
          </w:r>
          <w:r>
            <w:t>14</w:t>
          </w:r>
          <w:r>
            <w:fldChar w:fldCharType="end"/>
          </w:r>
          <w:r>
            <w:fldChar w:fldCharType="end"/>
          </w:r>
        </w:p>
        <w:p>
          <w:pPr>
            <w:pStyle w:val="17"/>
            <w:tabs>
              <w:tab w:val="right" w:leader="dot" w:pos="8845"/>
            </w:tabs>
          </w:pPr>
          <w:r>
            <w:fldChar w:fldCharType="begin"/>
          </w:r>
          <w:r>
            <w:instrText xml:space="preserve"> HYPERLINK \l "_Toc31424" </w:instrText>
          </w:r>
          <w:r>
            <w:fldChar w:fldCharType="separate"/>
          </w:r>
          <w:r>
            <w:rPr>
              <w:rFonts w:hint="eastAsia" w:ascii="黑体" w:hAnsi="黑体" w:eastAsia="黑体" w:cs="黑体"/>
              <w:bCs/>
              <w:szCs w:val="28"/>
            </w:rPr>
            <w:t>八、实施与保障</w:t>
          </w:r>
          <w:r>
            <w:tab/>
          </w:r>
          <w:r>
            <w:fldChar w:fldCharType="begin"/>
          </w:r>
          <w:r>
            <w:instrText xml:space="preserve"> PAGEREF _Toc31424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"_Toc25638" </w:instrText>
          </w:r>
          <w:r>
            <w:fldChar w:fldCharType="separate"/>
          </w:r>
          <w:r>
            <w:rPr>
              <w:rFonts w:hint="eastAsia" w:ascii="楷体_GB2312" w:hAnsi="楷体_GB2312" w:eastAsia="楷体_GB2312" w:cs="楷体_GB2312"/>
              <w:bCs/>
              <w:szCs w:val="28"/>
            </w:rPr>
            <w:t>（一）师资队伍</w:t>
          </w:r>
          <w:r>
            <w:tab/>
          </w:r>
          <w:r>
            <w:fldChar w:fldCharType="begin"/>
          </w:r>
          <w:r>
            <w:instrText xml:space="preserve"> PAGEREF _Toc25638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"_Toc31426" </w:instrText>
          </w:r>
          <w:r>
            <w:fldChar w:fldCharType="separate"/>
          </w:r>
          <w:r>
            <w:rPr>
              <w:rFonts w:hint="eastAsia" w:ascii="楷体_GB2312" w:hAnsi="楷体_GB2312" w:eastAsia="楷体_GB2312" w:cs="楷体_GB2312"/>
              <w:bCs/>
              <w:szCs w:val="28"/>
            </w:rPr>
            <w:t>（二）教学设施</w:t>
          </w:r>
          <w:r>
            <w:tab/>
          </w:r>
          <w:r>
            <w:fldChar w:fldCharType="begin"/>
          </w:r>
          <w:r>
            <w:instrText xml:space="preserve"> PAGEREF _Toc31426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"_Toc4916" </w:instrText>
          </w:r>
          <w:r>
            <w:fldChar w:fldCharType="separate"/>
          </w:r>
          <w:r>
            <w:rPr>
              <w:rFonts w:hint="eastAsia" w:ascii="楷体_GB2312" w:hAnsi="楷体_GB2312" w:eastAsia="楷体_GB2312" w:cs="楷体_GB2312"/>
              <w:bCs/>
              <w:szCs w:val="28"/>
            </w:rPr>
            <w:t>（三）教学资源</w:t>
          </w:r>
          <w:r>
            <w:tab/>
          </w:r>
          <w:r>
            <w:fldChar w:fldCharType="begin"/>
          </w:r>
          <w:r>
            <w:instrText xml:space="preserve"> PAGEREF _Toc4916 \h </w:instrText>
          </w:r>
          <w:r>
            <w:fldChar w:fldCharType="separate"/>
          </w:r>
          <w:r>
            <w:t>23</w:t>
          </w:r>
          <w:r>
            <w:fldChar w:fldCharType="end"/>
          </w:r>
          <w:r>
            <w:fldChar w:fldCharType="end"/>
          </w:r>
        </w:p>
        <w:p>
          <w:pPr>
            <w:pStyle w:val="21"/>
            <w:tabs>
              <w:tab w:val="right" w:leader="dot" w:pos="8845"/>
            </w:tabs>
          </w:pPr>
          <w:r>
            <w:fldChar w:fldCharType="begin"/>
          </w:r>
          <w:r>
            <w:instrText xml:space="preserve"> HYPERLINK \l "_Toc30455" </w:instrText>
          </w:r>
          <w:r>
            <w:fldChar w:fldCharType="separate"/>
          </w:r>
          <w:r>
            <w:rPr>
              <w:rFonts w:hint="eastAsia" w:ascii="楷体_GB2312" w:hAnsi="楷体_GB2312" w:eastAsia="楷体_GB2312" w:cs="楷体_GB2312"/>
              <w:bCs/>
              <w:szCs w:val="28"/>
            </w:rPr>
            <w:t>（四）教学方法</w:t>
          </w:r>
          <w:r>
            <w:tab/>
          </w:r>
          <w:r>
            <w:fldChar w:fldCharType="begin"/>
          </w:r>
          <w:r>
            <w:instrText xml:space="preserve"> PAGEREF _Toc30455 \h </w:instrText>
          </w:r>
          <w:r>
            <w:fldChar w:fldCharType="separate"/>
          </w:r>
          <w:r>
            <w:t>23</w:t>
          </w:r>
          <w:r>
            <w:fldChar w:fldCharType="end"/>
          </w:r>
          <w:r>
            <w:fldChar w:fldCharType="end"/>
          </w:r>
        </w:p>
        <w:p>
          <w:pPr>
            <w:pStyle w:val="21"/>
            <w:tabs>
              <w:tab w:val="right" w:leader="dot" w:pos="8845"/>
            </w:tabs>
          </w:pPr>
          <w:r>
            <w:fldChar w:fldCharType="begin"/>
          </w:r>
          <w:r>
            <w:instrText xml:space="preserve"> HYPERLINK \l "_Toc16020" </w:instrText>
          </w:r>
          <w:r>
            <w:fldChar w:fldCharType="separate"/>
          </w:r>
          <w:r>
            <w:rPr>
              <w:rFonts w:hint="eastAsia" w:ascii="楷体_GB2312" w:hAnsi="楷体_GB2312" w:eastAsia="楷体_GB2312" w:cs="楷体_GB2312"/>
              <w:bCs/>
              <w:szCs w:val="28"/>
            </w:rPr>
            <w:t>（五）学习评价</w:t>
          </w:r>
          <w:r>
            <w:tab/>
          </w:r>
          <w:r>
            <w:fldChar w:fldCharType="begin"/>
          </w:r>
          <w:r>
            <w:instrText xml:space="preserve"> PAGEREF _Toc16020 \h </w:instrText>
          </w:r>
          <w:r>
            <w:fldChar w:fldCharType="separate"/>
          </w:r>
          <w:r>
            <w:t>24</w:t>
          </w:r>
          <w:r>
            <w:fldChar w:fldCharType="end"/>
          </w:r>
          <w:r>
            <w:fldChar w:fldCharType="end"/>
          </w:r>
        </w:p>
        <w:p>
          <w:pPr>
            <w:pStyle w:val="21"/>
            <w:tabs>
              <w:tab w:val="right" w:leader="dot" w:pos="8845"/>
            </w:tabs>
          </w:pPr>
          <w:r>
            <w:fldChar w:fldCharType="begin"/>
          </w:r>
          <w:r>
            <w:instrText xml:space="preserve"> HYPERLINK \l "_Toc24701" </w:instrText>
          </w:r>
          <w:r>
            <w:fldChar w:fldCharType="separate"/>
          </w:r>
          <w:r>
            <w:rPr>
              <w:rFonts w:hint="eastAsia" w:ascii="楷体_GB2312" w:hAnsi="楷体_GB2312" w:eastAsia="楷体_GB2312" w:cs="楷体_GB2312"/>
              <w:bCs/>
              <w:szCs w:val="28"/>
            </w:rPr>
            <w:t>（六）质量管理</w:t>
          </w:r>
          <w:r>
            <w:tab/>
          </w:r>
          <w:r>
            <w:fldChar w:fldCharType="begin"/>
          </w:r>
          <w:r>
            <w:instrText xml:space="preserve"> PAGEREF _Toc24701 \h </w:instrText>
          </w:r>
          <w:r>
            <w:fldChar w:fldCharType="separate"/>
          </w:r>
          <w:r>
            <w:t>24</w:t>
          </w:r>
          <w:r>
            <w:fldChar w:fldCharType="end"/>
          </w:r>
          <w:r>
            <w:fldChar w:fldCharType="end"/>
          </w:r>
        </w:p>
        <w:p>
          <w:pPr>
            <w:pStyle w:val="17"/>
            <w:tabs>
              <w:tab w:val="right" w:leader="dot" w:pos="8845"/>
            </w:tabs>
          </w:pPr>
          <w:r>
            <w:fldChar w:fldCharType="begin"/>
          </w:r>
          <w:r>
            <w:instrText xml:space="preserve"> HYPERLINK \l "_Toc23606" </w:instrText>
          </w:r>
          <w:r>
            <w:fldChar w:fldCharType="separate"/>
          </w:r>
          <w:r>
            <w:rPr>
              <w:rFonts w:hint="eastAsia" w:ascii="黑体" w:hAnsi="黑体" w:eastAsia="黑体" w:cs="黑体"/>
              <w:bCs/>
              <w:szCs w:val="28"/>
            </w:rPr>
            <w:t>九、毕业生要求</w:t>
          </w:r>
          <w:r>
            <w:tab/>
          </w:r>
          <w:r>
            <w:fldChar w:fldCharType="begin"/>
          </w:r>
          <w:r>
            <w:instrText xml:space="preserve"> PAGEREF _Toc23606 \h </w:instrText>
          </w:r>
          <w:r>
            <w:fldChar w:fldCharType="separate"/>
          </w:r>
          <w:r>
            <w:t>26</w:t>
          </w:r>
          <w:r>
            <w:fldChar w:fldCharType="end"/>
          </w:r>
          <w:r>
            <w:fldChar w:fldCharType="end"/>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pPr>
        <w:wordWrap w:val="0"/>
        <w:spacing w:line="52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52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51" w:name="_GoBack"/>
      <w:bookmarkEnd w:id="51"/>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0" w:name="_Toc30087"/>
      <w:r>
        <w:rPr>
          <w:rFonts w:hint="eastAsia" w:ascii="黑体" w:hAnsi="黑体" w:eastAsia="黑体" w:cs="黑体"/>
          <w:bCs/>
          <w:color w:val="000000" w:themeColor="text1"/>
          <w:sz w:val="28"/>
          <w:szCs w:val="28"/>
          <w14:textFill>
            <w14:solidFill>
              <w14:schemeClr w14:val="tx1"/>
            </w14:solidFill>
          </w14:textFill>
        </w:rPr>
        <w:t>一、专业名称（专业代码）</w:t>
      </w:r>
      <w:bookmarkEnd w:id="0"/>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专业名称：汽车检测与维修技术</w:t>
      </w:r>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专业代码：5</w:t>
      </w:r>
      <w:r>
        <w:rPr>
          <w:rFonts w:ascii="仿宋_GB2312" w:hAnsi="仿宋_GB2312" w:eastAsia="仿宋_GB2312" w:cs="仿宋_GB2312"/>
          <w:bCs/>
          <w:color w:val="000000" w:themeColor="text1"/>
          <w:sz w:val="28"/>
          <w:szCs w:val="28"/>
          <w14:textFill>
            <w14:solidFill>
              <w14:schemeClr w14:val="tx1"/>
            </w14:solidFill>
          </w14:textFill>
        </w:rPr>
        <w:t>00211</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1" w:name="_Toc10415"/>
      <w:r>
        <w:rPr>
          <w:rFonts w:hint="eastAsia" w:ascii="黑体" w:hAnsi="黑体" w:eastAsia="黑体" w:cs="黑体"/>
          <w:bCs/>
          <w:color w:val="000000" w:themeColor="text1"/>
          <w:sz w:val="28"/>
          <w:szCs w:val="28"/>
          <w14:textFill>
            <w14:solidFill>
              <w14:schemeClr w14:val="tx1"/>
            </w14:solidFill>
          </w14:textFill>
        </w:rPr>
        <w:t>二、入学要求</w:t>
      </w:r>
      <w:bookmarkEnd w:id="1"/>
    </w:p>
    <w:p>
      <w:pPr>
        <w:wordWrap w:val="0"/>
        <w:spacing w:line="480" w:lineRule="exact"/>
        <w:ind w:firstLine="560" w:firstLineChars="2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高中阶段教育毕业生/具有同等学力者。</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2" w:name="_Toc20397"/>
      <w:r>
        <w:rPr>
          <w:rFonts w:hint="eastAsia" w:ascii="黑体" w:hAnsi="黑体" w:eastAsia="黑体" w:cs="黑体"/>
          <w:bCs/>
          <w:color w:val="000000" w:themeColor="text1"/>
          <w:sz w:val="28"/>
          <w:szCs w:val="28"/>
          <w14:textFill>
            <w14:solidFill>
              <w14:schemeClr w14:val="tx1"/>
            </w14:solidFill>
          </w14:textFill>
        </w:rPr>
        <w:t>三、修业年限及学历</w:t>
      </w:r>
      <w:bookmarkEnd w:id="2"/>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基本学制3年，专科。</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3" w:name="_Toc27009"/>
      <w:r>
        <w:rPr>
          <w:rFonts w:hint="eastAsia" w:ascii="黑体" w:hAnsi="黑体" w:eastAsia="黑体" w:cs="黑体"/>
          <w:bCs/>
          <w:color w:val="000000" w:themeColor="text1"/>
          <w:sz w:val="28"/>
          <w:szCs w:val="28"/>
          <w14:textFill>
            <w14:solidFill>
              <w14:schemeClr w14:val="tx1"/>
            </w14:solidFill>
          </w14:textFill>
        </w:rPr>
        <w:t>四、职业面向</w:t>
      </w:r>
      <w:bookmarkEnd w:id="3"/>
      <w:bookmarkStart w:id="4" w:name="_Toc38299245"/>
      <w:bookmarkStart w:id="5" w:name="_Toc38201832"/>
    </w:p>
    <w:p>
      <w:pPr>
        <w:wordWrap w:val="0"/>
        <w:spacing w:line="48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6" w:name="_Toc16142"/>
      <w:r>
        <w:rPr>
          <w:rFonts w:hint="eastAsia" w:ascii="楷体_GB2312" w:hAnsi="楷体_GB2312" w:eastAsia="楷体_GB2312" w:cs="楷体_GB2312"/>
          <w:color w:val="000000" w:themeColor="text1"/>
          <w:sz w:val="28"/>
          <w:szCs w:val="28"/>
          <w14:textFill>
            <w14:solidFill>
              <w14:schemeClr w14:val="tx1"/>
            </w14:solidFill>
          </w14:textFill>
        </w:rPr>
        <w:t>（一）本专业职业面向</w:t>
      </w:r>
      <w:bookmarkEnd w:id="4"/>
      <w:bookmarkEnd w:id="5"/>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223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所属专业类</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对应行业</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22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主要职业类别</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交通运输大类（</w:t>
            </w:r>
            <w:r>
              <w:rPr>
                <w:rFonts w:ascii="宋体" w:hAnsi="宋体" w:eastAsia="宋体" w:cs="宋体"/>
                <w:bCs/>
                <w:color w:val="000000" w:themeColor="text1"/>
                <w:kern w:val="0"/>
                <w:szCs w:val="21"/>
                <w14:textFill>
                  <w14:solidFill>
                    <w14:schemeClr w14:val="tx1"/>
                  </w14:solidFill>
                </w14:textFill>
              </w:rPr>
              <w:t>50</w:t>
            </w:r>
            <w:r>
              <w:rPr>
                <w:rFonts w:hint="eastAsia" w:ascii="宋体" w:hAnsi="宋体" w:eastAsia="宋体" w:cs="宋体"/>
                <w:bCs/>
                <w:color w:val="000000" w:themeColor="text1"/>
                <w:kern w:val="0"/>
                <w:szCs w:val="21"/>
                <w14:textFill>
                  <w14:solidFill>
                    <w14:schemeClr w14:val="tx1"/>
                  </w14:solidFill>
                </w14:textFill>
              </w:rPr>
              <w:t>）</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道路运输类（</w:t>
            </w:r>
            <w:r>
              <w:rPr>
                <w:rFonts w:ascii="宋体" w:hAnsi="宋体" w:eastAsia="宋体" w:cs="宋体"/>
                <w:bCs/>
                <w:color w:val="000000" w:themeColor="text1"/>
                <w:kern w:val="0"/>
                <w:szCs w:val="21"/>
                <w14:textFill>
                  <w14:solidFill>
                    <w14:schemeClr w14:val="tx1"/>
                  </w14:solidFill>
                </w14:textFill>
              </w:rPr>
              <w:t>5002</w:t>
            </w:r>
            <w:r>
              <w:rPr>
                <w:rFonts w:hint="eastAsia" w:ascii="宋体" w:hAnsi="宋体" w:eastAsia="宋体" w:cs="宋体"/>
                <w:bCs/>
                <w:color w:val="000000" w:themeColor="text1"/>
                <w:kern w:val="0"/>
                <w:szCs w:val="21"/>
                <w14:textFill>
                  <w14:solidFill>
                    <w14:schemeClr w14:val="tx1"/>
                  </w14:solidFill>
                </w14:textFill>
              </w:rPr>
              <w:t>）</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汽车修理与维护</w:t>
            </w:r>
          </w:p>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r>
              <w:rPr>
                <w:rFonts w:ascii="宋体" w:hAnsi="宋体" w:eastAsia="宋体" w:cs="宋体"/>
                <w:bCs/>
                <w:color w:val="000000" w:themeColor="text1"/>
                <w:kern w:val="0"/>
                <w:szCs w:val="21"/>
                <w14:textFill>
                  <w14:solidFill>
                    <w14:schemeClr w14:val="tx1"/>
                  </w14:solidFill>
                </w14:textFill>
              </w:rPr>
              <w:t>11</w:t>
            </w:r>
            <w:r>
              <w:rPr>
                <w:rFonts w:hint="eastAsia" w:ascii="宋体" w:hAnsi="宋体" w:eastAsia="宋体" w:cs="宋体"/>
                <w:bCs/>
                <w:color w:val="000000" w:themeColor="text1"/>
                <w:kern w:val="0"/>
                <w:szCs w:val="21"/>
                <w14:textFill>
                  <w14:solidFill>
                    <w14:schemeClr w14:val="tx1"/>
                  </w14:solidFill>
                </w14:textFill>
              </w:rPr>
              <w:t>1）</w:t>
            </w:r>
          </w:p>
        </w:tc>
        <w:tc>
          <w:tcPr>
            <w:tcW w:w="2238" w:type="dxa"/>
            <w:tcBorders>
              <w:top w:val="single" w:color="auto" w:sz="4" w:space="0"/>
              <w:left w:val="single" w:color="auto" w:sz="4" w:space="0"/>
              <w:bottom w:val="single" w:color="auto" w:sz="4" w:space="0"/>
              <w:right w:val="single" w:color="auto" w:sz="4" w:space="0"/>
            </w:tcBorders>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rPr>
              <w:t>汽车运用工程技术人员(2-02-15-01)、汽车维修工</w:t>
            </w:r>
            <w:r>
              <w:t>(4-12-01-01)</w:t>
            </w:r>
          </w:p>
        </w:tc>
        <w:tc>
          <w:tcPr>
            <w:tcW w:w="2065" w:type="dxa"/>
            <w:tcBorders>
              <w:top w:val="single" w:color="auto" w:sz="4" w:space="0"/>
              <w:left w:val="single" w:color="auto" w:sz="4" w:space="0"/>
              <w:bottom w:val="single" w:color="auto" w:sz="4" w:space="0"/>
              <w:right w:val="single" w:color="auto" w:sz="4" w:space="0"/>
            </w:tcBorders>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rPr>
              <w:t>汽车机电维修、汽车服务顾问</w:t>
            </w:r>
          </w:p>
        </w:tc>
      </w:tr>
    </w:tbl>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7" w:name="_Toc9981"/>
      <w:bookmarkStart w:id="8" w:name="_Toc38201833"/>
      <w:bookmarkStart w:id="9" w:name="_Toc38299246"/>
      <w:r>
        <w:rPr>
          <w:rFonts w:hint="eastAsia" w:ascii="楷体_GB2312" w:hAnsi="楷体_GB2312" w:eastAsia="楷体_GB2312" w:cs="楷体_GB2312"/>
          <w:color w:val="000000" w:themeColor="text1"/>
          <w:sz w:val="28"/>
          <w:szCs w:val="28"/>
          <w14:textFill>
            <w14:solidFill>
              <w14:schemeClr w14:val="tx1"/>
            </w14:solidFill>
          </w14:textFill>
        </w:rPr>
        <w:t>（二）职业等级证书、行业企业标准和证书</w:t>
      </w:r>
      <w:bookmarkEnd w:id="7"/>
      <w:bookmarkEnd w:id="8"/>
      <w:bookmarkEnd w:id="9"/>
    </w:p>
    <w:p>
      <w:pPr>
        <w:pStyle w:val="82"/>
        <w:spacing w:line="560" w:lineRule="exact"/>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0" w:name="_Toc93"/>
      <w:bookmarkStart w:id="11" w:name="_Toc9012"/>
      <w:r>
        <w:rPr>
          <w:rFonts w:hint="eastAsia" w:ascii="仿宋_GB2312" w:hAnsi="仿宋_GB2312" w:eastAsia="仿宋_GB2312" w:cs="仿宋_GB2312"/>
          <w:b w:val="0"/>
          <w:color w:val="000000" w:themeColor="text1"/>
          <w:sz w:val="28"/>
          <w:szCs w:val="28"/>
          <w14:textFill>
            <w14:solidFill>
              <w14:schemeClr w14:val="tx1"/>
            </w14:solidFill>
          </w14:textFill>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序号</w:t>
            </w:r>
          </w:p>
        </w:tc>
        <w:tc>
          <w:tcPr>
            <w:tcW w:w="2190"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考核项目</w:t>
            </w:r>
          </w:p>
        </w:tc>
        <w:tc>
          <w:tcPr>
            <w:tcW w:w="3762"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考核发证部门</w:t>
            </w:r>
          </w:p>
        </w:tc>
        <w:tc>
          <w:tcPr>
            <w:tcW w:w="946"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等级</w:t>
            </w:r>
          </w:p>
        </w:tc>
        <w:tc>
          <w:tcPr>
            <w:tcW w:w="845"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全国英语等级考试</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三级</w:t>
            </w:r>
          </w:p>
        </w:tc>
        <w:tc>
          <w:tcPr>
            <w:tcW w:w="845" w:type="dxa"/>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普通话</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国家语言文字委员会</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三甲</w:t>
            </w:r>
          </w:p>
        </w:tc>
        <w:tc>
          <w:tcPr>
            <w:tcW w:w="845"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全国计算机等级考试</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二级</w:t>
            </w:r>
          </w:p>
        </w:tc>
        <w:tc>
          <w:tcPr>
            <w:tcW w:w="845"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bl>
    <w:p>
      <w:pPr>
        <w:pStyle w:val="82"/>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2" w:name="_Toc32008"/>
      <w:bookmarkStart w:id="13" w:name="_Toc8164"/>
      <w:r>
        <w:rPr>
          <w:rFonts w:hint="eastAsia" w:ascii="仿宋_GB2312" w:hAnsi="仿宋_GB2312" w:eastAsia="仿宋_GB2312" w:cs="仿宋_GB2312"/>
          <w:b w:val="0"/>
          <w:color w:val="000000" w:themeColor="text1"/>
          <w:sz w:val="28"/>
          <w:szCs w:val="28"/>
          <w14:textFill>
            <w14:solidFill>
              <w14:schemeClr w14:val="tx1"/>
            </w14:solidFill>
          </w14:textFill>
        </w:rPr>
        <w:t>2.本专业职业资格证书</w:t>
      </w:r>
      <w:bookmarkEnd w:id="12"/>
      <w:bookmarkEnd w:id="13"/>
      <w:r>
        <w:rPr>
          <w:rFonts w:hint="eastAsia" w:ascii="仿宋_GB2312" w:hAnsi="仿宋_GB2312" w:eastAsia="仿宋_GB2312" w:cs="仿宋_GB2312"/>
          <w:b w:val="0"/>
          <w:color w:val="FF0000"/>
          <w:sz w:val="28"/>
          <w:szCs w:val="28"/>
        </w:rPr>
        <w:t>（包括1+X证书）</w:t>
      </w:r>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ind w:left="105" w:leftChars="5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汽车维修中级工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汽车维修高级工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特种作业操作证</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国家安全生产监督管理总局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低压电工</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bl>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（说明：学生毕业应至少获得一种通用证书和一种专业职业资格证书。）</w:t>
      </w:r>
    </w:p>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14" w:name="_Toc24781"/>
      <w:r>
        <w:rPr>
          <w:rFonts w:hint="eastAsia" w:ascii="楷体_GB2312" w:hAnsi="楷体_GB2312" w:eastAsia="楷体_GB2312" w:cs="楷体_GB2312"/>
          <w:color w:val="000000" w:themeColor="text1"/>
          <w:sz w:val="28"/>
          <w:szCs w:val="28"/>
          <w14:textFill>
            <w14:solidFill>
              <w14:schemeClr w14:val="tx1"/>
            </w14:solidFill>
          </w14:textFill>
        </w:rPr>
        <w:t>（三）职业生涯发展路径</w:t>
      </w:r>
      <w:bookmarkEnd w:id="14"/>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发展岗位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（工程师）</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3360;v-text-anchor:middle;mso-width-relative:page;mso-height-relative:page;" filled="f" stroked="t" coordsize="21600,21600"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76dOdgAAAAKAQAADwAAAAAAAAABACAAAAAiAAAAZHJzL2Rvd25yZXYueG1sUEsBAhQA&#10;FAAAAAgAh07iQC4oDFRkAgAAwgQAAA4AAAAAAAAAAQAgAAAAJwEAAGRycy9lMm9Eb2MueG1sUEsF&#10;BgAAAAAGAAYAWQEAAP0FAAAAAA==&#10;">
                <v:fill on="f" focussize="0,0"/>
                <v:stroke weight="1pt" color="#000000 [3213]"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发展岗位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（工程师）</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（管理者）</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目标岗位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（技术员）</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（维修员）</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v:fill on="f" focussize="0,0"/>
                <v:stroke weight="1pt" color="#000000 [3213]"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目标岗位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（技术员）</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（维修员）</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（管理员）</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初始岗位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（装配工）</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（维修工）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60288;v-text-anchor:middle;mso-width-relative:page;mso-height-relative:page;" filled="f" stroked="t" coordsize="21600,21600"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ZLlK9gAAAAJAQAADwAAAAAAAAABACAAAAAiAAAAZHJzL2Rvd25y&#10;ZXYueG1sUEsBAhQAFAAAAAgAh07iQPRRWPBwAgAAzgQAAA4AAAAAAAAAAQAgAAAAJwEAAGRycy9l&#10;Mm9Eb2MueG1sUEsFBgAAAAAGAAYAWQEAAAkGAAAAAA==&#10;">
                <v:fill on="f" focussize="0,0"/>
                <v:stroke weight="1pt" color="#000000 [3213]"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初始岗位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（装配工）</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（维修工）</w:t>
                      </w:r>
                    </w:p>
                  </w:txbxContent>
                </v:textbox>
              </v:rect>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15" w:name="_Toc7860"/>
      <w:r>
        <w:rPr>
          <w:rFonts w:hint="eastAsia" w:ascii="黑体" w:hAnsi="黑体" w:eastAsia="黑体" w:cs="黑体"/>
          <w:bCs/>
          <w:color w:val="000000" w:themeColor="text1"/>
          <w:sz w:val="28"/>
          <w:szCs w:val="28"/>
          <w14:textFill>
            <w14:solidFill>
              <w14:schemeClr w14:val="tx1"/>
            </w14:solidFill>
          </w14:textFill>
        </w:rPr>
        <w:t>五、培养目标与规格</w:t>
      </w:r>
      <w:bookmarkEnd w:id="15"/>
    </w:p>
    <w:p>
      <w:pPr>
        <w:pStyle w:val="80"/>
        <w:spacing w:line="480" w:lineRule="exact"/>
        <w:ind w:firstLine="560" w:firstLineChars="200"/>
        <w:outlineLvl w:val="1"/>
        <w:rPr>
          <w:rFonts w:ascii="楷体_GB2312" w:hAnsi="楷体_GB2312" w:eastAsia="楷体_GB2312" w:cs="楷体_GB2312"/>
          <w:b w:val="0"/>
          <w:bCs/>
          <w:color w:val="000000" w:themeColor="text1"/>
          <w:sz w:val="28"/>
          <w:szCs w:val="28"/>
          <w14:textFill>
            <w14:solidFill>
              <w14:schemeClr w14:val="tx1"/>
            </w14:solidFill>
          </w14:textFill>
        </w:rPr>
      </w:pPr>
      <w:bookmarkStart w:id="16" w:name="_Toc38201834"/>
      <w:bookmarkStart w:id="17" w:name="_Toc38299247"/>
      <w:bookmarkStart w:id="18" w:name="_Toc31453"/>
      <w:bookmarkStart w:id="19" w:name="_Toc38201837"/>
      <w:bookmarkStart w:id="20" w:name="_Toc38299250"/>
      <w:r>
        <w:rPr>
          <w:rFonts w:hint="eastAsia" w:ascii="楷体_GB2312" w:hAnsi="楷体_GB2312" w:eastAsia="楷体_GB2312" w:cs="楷体_GB2312"/>
          <w:b w:val="0"/>
          <w:bCs/>
          <w:color w:val="000000" w:themeColor="text1"/>
          <w:sz w:val="28"/>
          <w:szCs w:val="28"/>
          <w14:textFill>
            <w14:solidFill>
              <w14:schemeClr w14:val="tx1"/>
            </w14:solidFill>
          </w14:textFill>
        </w:rPr>
        <w:t>（一）培养目标</w:t>
      </w:r>
      <w:bookmarkEnd w:id="16"/>
      <w:bookmarkEnd w:id="17"/>
      <w:bookmarkEnd w:id="18"/>
    </w:p>
    <w:p>
      <w:pPr>
        <w:widowControl/>
        <w:spacing w:line="480" w:lineRule="exact"/>
        <w:ind w:firstLine="560" w:firstLineChars="200"/>
        <w:jc w:val="left"/>
        <w:rPr>
          <w:rFonts w:ascii="仿宋_GB2312" w:hAnsi="仿宋_GB2312" w:eastAsia="仿宋_GB2312" w:cs="仿宋_GB2312"/>
          <w:color w:val="000000" w:themeColor="text1"/>
          <w:kern w:val="0"/>
          <w:sz w:val="28"/>
          <w:szCs w:val="28"/>
          <w14:textFill>
            <w14:solidFill>
              <w14:schemeClr w14:val="tx1"/>
            </w14:solidFill>
          </w14:textFill>
        </w:rPr>
      </w:pPr>
      <w:bookmarkStart w:id="21" w:name="_Toc38299248"/>
      <w:bookmarkStart w:id="22" w:name="_Toc38201835"/>
      <w:r>
        <w:rPr>
          <w:rFonts w:hint="eastAsia" w:ascii="仿宋_GB2312" w:hAnsi="仿宋_GB2312" w:eastAsia="仿宋_GB2312" w:cs="仿宋_GB2312"/>
          <w:color w:val="000000" w:themeColor="text1"/>
          <w:kern w:val="0"/>
          <w:sz w:val="28"/>
          <w:szCs w:val="28"/>
          <w14:textFill>
            <w14:solidFill>
              <w14:schemeClr w14:val="tx1"/>
            </w14:solidFill>
          </w14:textFill>
        </w:rPr>
        <w:t>本专业培养理想信念坚定，德、智、体、美、劳全面发展，具有一定的科学文化水平，良好的人文素养、职业道德和创新精神，精益求精的工匠精神，较强的就业能力和可持续发展的能力，掌握本专业知识和技术技能，面向汽车修理与维护行业的汽车运用工程技术人员、汽车维修工等职业群（或技术能力领域），能够从事汽车维护、汽车机电维修、汽车服务顾问、汽车检测、配件管理、二手车鉴定评估、事故车查勘定损等工作，具有职业发展能力的高素质技术技能人才。</w:t>
      </w:r>
    </w:p>
    <w:p>
      <w:pPr>
        <w:pStyle w:val="80"/>
        <w:spacing w:line="480" w:lineRule="exact"/>
        <w:ind w:firstLine="560" w:firstLineChars="200"/>
        <w:outlineLvl w:val="1"/>
        <w:rPr>
          <w:rFonts w:ascii="楷体" w:hAnsi="楷体" w:eastAsia="楷体" w:cs="楷体"/>
          <w:b w:val="0"/>
          <w:bCs/>
          <w:color w:val="000000" w:themeColor="text1"/>
          <w:sz w:val="28"/>
          <w:szCs w:val="28"/>
          <w14:textFill>
            <w14:solidFill>
              <w14:schemeClr w14:val="tx1"/>
            </w14:solidFill>
          </w14:textFill>
        </w:rPr>
      </w:pPr>
      <w:bookmarkStart w:id="23" w:name="_Toc20435"/>
      <w:r>
        <w:rPr>
          <w:rFonts w:hint="eastAsia" w:ascii="楷体" w:hAnsi="楷体" w:eastAsia="楷体" w:cs="楷体"/>
          <w:b w:val="0"/>
          <w:bCs/>
          <w:color w:val="000000" w:themeColor="text1"/>
          <w:sz w:val="28"/>
          <w:szCs w:val="28"/>
          <w14:textFill>
            <w14:solidFill>
              <w14:schemeClr w14:val="tx1"/>
            </w14:solidFill>
          </w14:textFill>
        </w:rPr>
        <w:t>（二）培养规格</w:t>
      </w:r>
      <w:bookmarkEnd w:id="21"/>
      <w:bookmarkEnd w:id="22"/>
      <w:bookmarkEnd w:id="23"/>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本专业毕业生应在素质、知识和能力等方面达到以下要求。</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1.基本素质</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（1）政治思想素质：</w:t>
      </w:r>
      <w:r>
        <w:rPr>
          <w:rFonts w:hint="eastAsia" w:ascii="仿宋_GB2312" w:hAnsi="仿宋_GB2312" w:eastAsia="仿宋_GB2312" w:cs="仿宋_GB2312"/>
          <w:color w:val="000000" w:themeColor="text1"/>
          <w:sz w:val="28"/>
          <w:szCs w:val="28"/>
          <w14:textFill>
            <w14:solidFill>
              <w14:schemeClr w14:val="tx1"/>
            </w14:solidFill>
          </w14:textFill>
        </w:rPr>
        <w:t>坚定拥护中国共产党领导和中国特色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（2）文化素质：</w:t>
      </w:r>
      <w:r>
        <w:rPr>
          <w:rFonts w:hint="eastAsia" w:ascii="仿宋_GB2312" w:hAnsi="仿宋_GB2312" w:eastAsia="仿宋_GB2312" w:cs="仿宋_GB2312"/>
          <w:color w:val="000000" w:themeColor="text1"/>
          <w:sz w:val="28"/>
          <w:szCs w:val="28"/>
          <w14:textFill>
            <w14:solidFill>
              <w14:schemeClr w14:val="tx1"/>
            </w14:solidFill>
          </w14:textFill>
        </w:rPr>
        <w:t>具有较为宽阔的视野，文理交融。具有一定的科学思维和科学探索精神，具备一定的文化素养和文学功底，具备健康、高雅的审美情趣和正确的审美观点、较强的审美能力。</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（3）身体和心理素质：</w:t>
      </w:r>
      <w:r>
        <w:rPr>
          <w:rFonts w:hint="eastAsia" w:ascii="仿宋_GB2312" w:hAnsi="仿宋_GB2312" w:eastAsia="仿宋_GB2312" w:cs="仿宋_GB2312"/>
          <w:color w:val="000000" w:themeColor="text1"/>
          <w:sz w:val="28"/>
          <w:szCs w:val="28"/>
          <w14:textFill>
            <w14:solidFill>
              <w14:schemeClr w14:val="tx1"/>
            </w14:solidFill>
          </w14:textFill>
        </w:rPr>
        <w:t>具有健康的体魄、心理和健全的人格，养成良好的健身与卫生习惯，以及良好的行为习惯。</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（4）专业素质：</w:t>
      </w:r>
      <w:r>
        <w:rPr>
          <w:rFonts w:hint="eastAsia" w:ascii="仿宋_GB2312" w:hAnsi="仿宋_GB2312" w:eastAsia="仿宋_GB2312" w:cs="仿宋_GB2312"/>
          <w:color w:val="000000" w:themeColor="text1"/>
          <w:sz w:val="28"/>
          <w:szCs w:val="28"/>
          <w14:textFill>
            <w14:solidFill>
              <w14:schemeClr w14:val="tx1"/>
            </w14:solidFill>
          </w14:textFill>
        </w:rPr>
        <w:t>具有良好的职业道德和敬业精神，做到吃苦耐劳、踏实肯干。树立诚实守信意识和责任意识，有良好的社会责任感和使命感。能够严格遵守职业规范及操作规程，具有较强的安全和环保意识。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2.知识要求</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（1）掌握必备的思想政治理论、科学文化基础知识和中华优秀传统文化知识。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（2）熟悉与本专业相关的法律法规以及环境保护、安全消防等知识。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（3）熟悉汽车电路图的组成要素。</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（4）掌握汽车构造及工作原理。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（5）掌握汽车电器电路的检查方法。</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（6）掌握传感器输出信号的分析方法和执行器驱动信号的分析方法。</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（7）掌握汽车检测工具和设备的选择、维护与操作规程。</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（8）掌握汽车及其零部件的养护、拆装及调试方法。</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（9）掌握整车故障检测分析与排除相关知识。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r>
        <w:rPr>
          <w:rFonts w:ascii="仿宋_GB2312" w:hAnsi="仿宋_GB2312" w:eastAsia="仿宋_GB2312" w:cs="仿宋_GB2312"/>
          <w:color w:val="000000" w:themeColor="text1"/>
          <w:sz w:val="28"/>
          <w:szCs w:val="28"/>
          <w14:textFill>
            <w14:solidFill>
              <w14:schemeClr w14:val="tx1"/>
            </w14:solidFill>
          </w14:textFill>
        </w:rPr>
        <w:t>10</w:t>
      </w:r>
      <w:r>
        <w:rPr>
          <w:rFonts w:hint="eastAsia" w:ascii="仿宋_GB2312" w:hAnsi="仿宋_GB2312" w:eastAsia="仿宋_GB2312" w:cs="仿宋_GB2312"/>
          <w:color w:val="000000" w:themeColor="text1"/>
          <w:sz w:val="28"/>
          <w:szCs w:val="28"/>
          <w14:textFill>
            <w14:solidFill>
              <w14:schemeClr w14:val="tx1"/>
            </w14:solidFill>
          </w14:textFill>
        </w:rPr>
        <w:t>）掌握汽车典型故障案例编写的方法。</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r>
        <w:rPr>
          <w:rFonts w:ascii="仿宋_GB2312" w:hAnsi="仿宋_GB2312" w:eastAsia="仿宋_GB2312" w:cs="仿宋_GB2312"/>
          <w:color w:val="000000" w:themeColor="text1"/>
          <w:sz w:val="28"/>
          <w:szCs w:val="28"/>
          <w14:textFill>
            <w14:solidFill>
              <w14:schemeClr w14:val="tx1"/>
            </w14:solidFill>
          </w14:textFill>
        </w:rPr>
        <w:t>11</w:t>
      </w:r>
      <w:r>
        <w:rPr>
          <w:rFonts w:hint="eastAsia" w:ascii="仿宋_GB2312" w:hAnsi="仿宋_GB2312" w:eastAsia="仿宋_GB2312" w:cs="仿宋_GB2312"/>
          <w:color w:val="000000" w:themeColor="text1"/>
          <w:sz w:val="28"/>
          <w:szCs w:val="28"/>
          <w14:textFill>
            <w14:solidFill>
              <w14:schemeClr w14:val="tx1"/>
            </w14:solidFill>
          </w14:textFill>
        </w:rPr>
        <w:t>）了解制造与维修企业管理等相关知识。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3.能力要求</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（1）具备参照国际标准、国家质量标准和汽车制造商质量规定进行汽车维护保养的能力。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（2）具备参照国际标准、国家质量标准和汽车制造商质量规定对车辆及各系统总成部件的拆卸、标记与装配能力。。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（3）具备参照国家质量标准、国际标准和汽车制造商质量规定进行车辆及各系统总成部件的常规测试与质量检查的能力。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（4）具备熟练操作汽车装配、检测与使用设备、仪器及工具的能力。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（5）具备车辆及总成系统的检测、排故能力。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（6）具备与客户技术交流、处理客户委托、车间管理的能力。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（7）具备工作计划、组织、实施和评估的能力。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（8）具备较强的团队合作意识。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（9）能够查阅专业外文资料。</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r>
        <w:rPr>
          <w:rFonts w:ascii="仿宋_GB2312" w:hAnsi="仿宋_GB2312" w:eastAsia="仿宋_GB2312" w:cs="仿宋_GB2312"/>
          <w:color w:val="000000" w:themeColor="text1"/>
          <w:sz w:val="28"/>
          <w:szCs w:val="28"/>
          <w14:textFill>
            <w14:solidFill>
              <w14:schemeClr w14:val="tx1"/>
            </w14:solidFill>
          </w14:textFill>
        </w:rPr>
        <w:t>10</w:t>
      </w:r>
      <w:r>
        <w:rPr>
          <w:rFonts w:hint="eastAsia" w:ascii="仿宋_GB2312" w:hAnsi="仿宋_GB2312" w:eastAsia="仿宋_GB2312" w:cs="仿宋_GB2312"/>
          <w:color w:val="000000" w:themeColor="text1"/>
          <w:sz w:val="28"/>
          <w:szCs w:val="28"/>
          <w14:textFill>
            <w14:solidFill>
              <w14:schemeClr w14:val="tx1"/>
            </w14:solidFill>
          </w14:textFill>
        </w:rPr>
        <w:t>）)能够使用计算机进行办公自动化及信息处理，使用汽车检测与维修方面的相关软件。</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4.职业态度</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（1）职业道德：增强学生的诚信品质、敬业精神、责任意识和遵纪守法意识，不谋私利、公道正派、廉洁自律、坚持原则。</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（2）职业行为：严格执行相关职业岗位标准和安全操作规程。能严格遵守企业相关管理制度，养成吃苦耐劳、乐于奉献的职业品质。</w:t>
      </w:r>
    </w:p>
    <w:p>
      <w:pPr>
        <w:snapToGrid w:val="0"/>
        <w:spacing w:line="480" w:lineRule="exact"/>
        <w:ind w:firstLine="560" w:firstLineChars="200"/>
        <w:outlineLvl w:val="1"/>
        <w:rPr>
          <w:rFonts w:ascii="楷体" w:hAnsi="楷体" w:eastAsia="楷体" w:cs="楷体"/>
          <w:bCs/>
          <w:color w:val="000000" w:themeColor="text1"/>
          <w:sz w:val="28"/>
          <w:szCs w:val="28"/>
          <w14:textFill>
            <w14:solidFill>
              <w14:schemeClr w14:val="tx1"/>
            </w14:solidFill>
          </w14:textFill>
        </w:rPr>
      </w:pPr>
      <w:bookmarkStart w:id="24" w:name="_Toc9617"/>
      <w:r>
        <w:rPr>
          <w:rFonts w:hint="eastAsia" w:ascii="楷体" w:hAnsi="楷体" w:eastAsia="楷体" w:cs="楷体"/>
          <w:bCs/>
          <w:color w:val="000000" w:themeColor="text1"/>
          <w:sz w:val="28"/>
          <w:szCs w:val="28"/>
          <w14:textFill>
            <w14:solidFill>
              <w14:schemeClr w14:val="tx1"/>
            </w14:solidFill>
          </w14:textFill>
        </w:rPr>
        <w:t>（三）创新创业能力的培养</w:t>
      </w:r>
      <w:bookmarkEnd w:id="24"/>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2.改革教育理念，实现由就业型人才培养目标向创业型人才培养目标的转变。改进教学方法，从以传授知识为中心转变为以培养学生创新能力为中心，以人为本，构建创新人才培养的教育模式。</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3.组织各类竞赛及学术讲座，协调大学生的个性发展，促进大学生在创新创业方面得以充分发挥个人才能。</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p>
    <w:p>
      <w:pPr>
        <w:pStyle w:val="35"/>
        <w:spacing w:line="520" w:lineRule="exact"/>
        <w:ind w:left="319" w:leftChars="152" w:firstLine="281" w:firstLineChars="100"/>
        <w:rPr>
          <w:rFonts w:ascii="黑体" w:hAnsi="黑体" w:eastAsia="黑体" w:cs="黑体"/>
          <w:color w:val="000000" w:themeColor="text1"/>
          <w14:textFill>
            <w14:solidFill>
              <w14:schemeClr w14:val="tx1"/>
            </w14:solidFill>
          </w14:textFill>
        </w:rPr>
      </w:pPr>
      <w:bookmarkStart w:id="25" w:name="_Toc13220"/>
      <w:r>
        <w:rPr>
          <w:rFonts w:hint="eastAsia" w:ascii="黑体" w:hAnsi="黑体" w:eastAsia="黑体" w:cs="黑体"/>
          <w:color w:val="000000" w:themeColor="text1"/>
          <w14:textFill>
            <w14:solidFill>
              <w14:schemeClr w14:val="tx1"/>
            </w14:solidFill>
          </w14:textFill>
        </w:rPr>
        <w:t>六、课程设置及要求</w:t>
      </w:r>
      <w:bookmarkEnd w:id="19"/>
      <w:bookmarkEnd w:id="20"/>
      <w:bookmarkEnd w:id="25"/>
      <w:r>
        <w:rPr>
          <w:rFonts w:hint="eastAsia" w:ascii="黑体" w:hAnsi="黑体" w:eastAsia="黑体" w:cs="黑体"/>
          <w:color w:val="000000" w:themeColor="text1"/>
          <w14:textFill>
            <w14:solidFill>
              <w14:schemeClr w14:val="tx1"/>
            </w14:solidFill>
          </w14:textFill>
        </w:rPr>
        <w:t xml:space="preserve"> </w:t>
      </w:r>
    </w:p>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14:textFill>
            <w14:solidFill>
              <w14:schemeClr w14:val="tx1"/>
            </w14:solidFill>
          </w14:textFill>
        </w:rPr>
      </w:pPr>
      <w:bookmarkStart w:id="26" w:name="_Toc38201838"/>
      <w:bookmarkStart w:id="27" w:name="_Toc38299251"/>
      <w:bookmarkStart w:id="28" w:name="_Toc29687"/>
      <w:r>
        <w:rPr>
          <w:rFonts w:hint="eastAsia" w:ascii="楷体_GB2312" w:hAnsi="楷体_GB2312" w:eastAsia="楷体_GB2312" w:cs="楷体_GB2312"/>
          <w:b w:val="0"/>
          <w:bCs/>
          <w:color w:val="000000" w:themeColor="text1"/>
          <w:sz w:val="28"/>
          <w:szCs w:val="28"/>
          <w14:textFill>
            <w14:solidFill>
              <w14:schemeClr w14:val="tx1"/>
            </w14:solidFill>
          </w14:textFill>
        </w:rPr>
        <w:t>（一）本专业公共基础课设置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课程名称</w:t>
            </w:r>
          </w:p>
        </w:tc>
        <w:tc>
          <w:tcPr>
            <w:tcW w:w="3834" w:type="dxa"/>
            <w:vAlign w:val="center"/>
          </w:tcPr>
          <w:p>
            <w:pPr>
              <w:snapToGrid w:val="0"/>
              <w:jc w:val="center"/>
              <w:rPr>
                <w:rFonts w:ascii="宋体" w:hAnsi="宋体" w:eastAsia="宋体" w:cs="宋体"/>
                <w:szCs w:val="21"/>
              </w:rPr>
            </w:pPr>
            <w:r>
              <w:rPr>
                <w:rFonts w:hint="eastAsia" w:ascii="宋体" w:hAnsi="宋体" w:eastAsia="宋体" w:cs="宋体"/>
                <w:szCs w:val="21"/>
              </w:rPr>
              <w:t>课程目标</w:t>
            </w:r>
          </w:p>
        </w:tc>
        <w:tc>
          <w:tcPr>
            <w:tcW w:w="4028" w:type="dxa"/>
            <w:vAlign w:val="center"/>
          </w:tcPr>
          <w:p>
            <w:pPr>
              <w:snapToGrid w:val="0"/>
              <w:jc w:val="center"/>
              <w:rPr>
                <w:rFonts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1</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形势与政策</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2</w:t>
            </w:r>
          </w:p>
        </w:tc>
        <w:tc>
          <w:tcPr>
            <w:tcW w:w="1000"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rPr>
              <w:t>军训</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军事</w:t>
            </w:r>
          </w:p>
          <w:p>
            <w:pPr>
              <w:snapToGrid w:val="0"/>
              <w:jc w:val="center"/>
              <w:rPr>
                <w:rFonts w:ascii="宋体" w:hAnsi="宋体" w:eastAsia="宋体" w:cs="宋体"/>
                <w:szCs w:val="21"/>
              </w:rPr>
            </w:pPr>
            <w:r>
              <w:rPr>
                <w:rFonts w:hint="eastAsia" w:ascii="宋体" w:hAnsi="宋体" w:eastAsia="宋体" w:cs="宋体"/>
                <w:szCs w:val="21"/>
              </w:rPr>
              <w:t>理论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w:t>
            </w:r>
            <w:r>
              <w:rPr>
                <w:rFonts w:hint="eastAsia" w:ascii="宋体" w:hAnsi="宋体" w:eastAsia="宋体" w:cs="宋体"/>
                <w:szCs w:val="21"/>
              </w:rPr>
              <w:t>理论</w:t>
            </w:r>
            <w:r>
              <w:rPr>
                <w:rFonts w:hint="eastAsia" w:ascii="宋体" w:hAnsi="宋体" w:eastAsia="宋体" w:cs="宋体"/>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劳动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5</w:t>
            </w:r>
          </w:p>
        </w:tc>
        <w:tc>
          <w:tcPr>
            <w:tcW w:w="1000" w:type="dxa"/>
            <w:vAlign w:val="center"/>
          </w:tcPr>
          <w:p>
            <w:pPr>
              <w:snapToGrid w:val="0"/>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snapToGrid w:val="0"/>
              <w:jc w:val="center"/>
              <w:rPr>
                <w:rFonts w:ascii="宋体" w:hAnsi="宋体" w:eastAsia="宋体" w:cs="宋体"/>
                <w:szCs w:val="21"/>
              </w:rPr>
            </w:pPr>
            <w:r>
              <w:rPr>
                <w:rFonts w:hint="eastAsia" w:ascii="宋体" w:hAnsi="宋体" w:eastAsia="宋体" w:cs="宋体"/>
                <w:color w:val="000000"/>
                <w:kern w:val="0"/>
                <w:szCs w:val="21"/>
                <w:lang w:bidi="ar"/>
              </w:rPr>
              <w:t>道德与法治</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围绕职业岗位和社会的需要，结合学生情感、意志、能力形成过程，帮助大学生树立正确的人生观、价值观、道德观和法制观。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6</w:t>
            </w:r>
          </w:p>
        </w:tc>
        <w:tc>
          <w:tcPr>
            <w:tcW w:w="1000" w:type="dxa"/>
            <w:vAlign w:val="center"/>
          </w:tcPr>
          <w:p>
            <w:pPr>
              <w:snapToGrid w:val="0"/>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铸牢中华民族共同体意识</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9</w:t>
            </w:r>
          </w:p>
          <w:p>
            <w:pPr>
              <w:snapToGrid w:val="0"/>
              <w:jc w:val="center"/>
              <w:rPr>
                <w:rFonts w:ascii="宋体" w:hAnsi="宋体" w:eastAsia="宋体" w:cs="宋体"/>
                <w:color w:val="404040"/>
                <w:szCs w:val="21"/>
                <w:shd w:val="clear" w:color="000000" w:fill="FFFFFF"/>
              </w:rPr>
            </w:pP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习近平新时代中国特色社会主义思想概论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10</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职业发展与就业指导</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11</w:t>
            </w:r>
          </w:p>
        </w:tc>
        <w:tc>
          <w:tcPr>
            <w:tcW w:w="1000" w:type="dxa"/>
            <w:vAlign w:val="center"/>
          </w:tcPr>
          <w:p>
            <w:pPr>
              <w:snapToGrid w:val="0"/>
              <w:jc w:val="center"/>
              <w:rPr>
                <w:rFonts w:ascii="宋体" w:hAnsi="宋体" w:eastAsia="宋体" w:cs="宋体"/>
                <w:szCs w:val="21"/>
              </w:rPr>
            </w:pPr>
          </w:p>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英语</w:t>
            </w:r>
          </w:p>
          <w:p>
            <w:pPr>
              <w:snapToGrid w:val="0"/>
              <w:rPr>
                <w:rFonts w:ascii="宋体" w:hAnsi="宋体" w:eastAsia="宋体" w:cs="宋体"/>
                <w:szCs w:val="21"/>
              </w:rPr>
            </w:pP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12</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信息</w:t>
            </w:r>
          </w:p>
          <w:p>
            <w:pPr>
              <w:snapToGrid w:val="0"/>
              <w:jc w:val="center"/>
              <w:rPr>
                <w:rFonts w:ascii="宋体" w:hAnsi="宋体" w:eastAsia="宋体" w:cs="宋体"/>
                <w:szCs w:val="21"/>
              </w:rPr>
            </w:pPr>
            <w:r>
              <w:rPr>
                <w:rFonts w:hint="eastAsia" w:ascii="宋体" w:hAnsi="宋体" w:eastAsia="宋体" w:cs="宋体"/>
                <w:szCs w:val="21"/>
              </w:rPr>
              <w:t>技术</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高职实用语文</w:t>
            </w:r>
          </w:p>
        </w:tc>
        <w:tc>
          <w:tcPr>
            <w:tcW w:w="3834"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普及文学常识及中国传统文化思想，提高人文素养。</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高职实用语文主要教学内容：主要作家、作品、经典篇章、文学史知识。</w:t>
            </w:r>
          </w:p>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体育与健康</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15</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数学</w:t>
            </w:r>
          </w:p>
        </w:tc>
        <w:tc>
          <w:tcPr>
            <w:tcW w:w="3834"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16</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心理健康教育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大学生安全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创新与创业</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能够进行创业机会识别和分析，树立科学的创新创业观，激发学生的创新创业意识，提高学生的社会责任感和创业精神，促进学生创业、就业全面发展。</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19</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“四史”教育</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pPr>
              <w:snapToGrid w:val="0"/>
              <w:ind w:firstLine="420" w:firstLineChars="200"/>
              <w:jc w:val="left"/>
              <w:rPr>
                <w:rFonts w:ascii="宋体" w:hAnsi="宋体" w:eastAsia="宋体" w:cs="宋体"/>
                <w:szCs w:val="21"/>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14:textFill>
            <w14:solidFill>
              <w14:schemeClr w14:val="tx1"/>
            </w14:solidFill>
          </w14:textFill>
        </w:rPr>
      </w:pPr>
    </w:p>
    <w:p>
      <w:pPr>
        <w:pStyle w:val="80"/>
        <w:outlineLvl w:val="9"/>
        <w:rPr>
          <w:rFonts w:ascii="楷体_GB2312" w:hAnsi="楷体_GB2312" w:eastAsia="楷体_GB2312" w:cs="楷体_GB2312"/>
          <w:b w:val="0"/>
          <w:bCs/>
          <w:color w:val="000000" w:themeColor="text1"/>
          <w:sz w:val="28"/>
          <w:szCs w:val="28"/>
          <w14:textFill>
            <w14:solidFill>
              <w14:schemeClr w14:val="tx1"/>
            </w14:solidFill>
          </w14:textFill>
        </w:rPr>
      </w:pPr>
      <w:bookmarkStart w:id="29" w:name="_Toc27140"/>
      <w:bookmarkStart w:id="30" w:name="_Toc38201839"/>
      <w:bookmarkStart w:id="31" w:name="_Toc38299252"/>
      <w:r>
        <w:rPr>
          <w:rFonts w:hint="eastAsia" w:ascii="楷体_GB2312" w:hAnsi="楷体_GB2312" w:eastAsia="楷体_GB2312" w:cs="楷体_GB2312"/>
          <w:b w:val="0"/>
          <w:bCs/>
          <w:color w:val="000000" w:themeColor="text1"/>
          <w:sz w:val="28"/>
          <w:szCs w:val="28"/>
          <w14:textFill>
            <w14:solidFill>
              <w14:schemeClr w14:val="tx1"/>
            </w14:solidFill>
          </w14:textFill>
        </w:rPr>
        <w:t>（二）专业（技能）课设置</w:t>
      </w:r>
      <w:bookmarkEnd w:id="29"/>
      <w:bookmarkEnd w:id="30"/>
      <w:bookmarkEnd w:id="31"/>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机械基础</w:t>
            </w:r>
          </w:p>
        </w:tc>
        <w:tc>
          <w:tcPr>
            <w:tcW w:w="417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使学生能够掌握基本的机械常识，为提高学生的识图能力，课本中图例较多，同时配有立体图，能有效地培养学生的空间想象力。</w:t>
            </w:r>
          </w:p>
        </w:tc>
        <w:tc>
          <w:tcPr>
            <w:tcW w:w="402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机械识图与电气识图，极限与配合，工程力学基础，常用材料基础知识，机械传动，常用机构，联接，弹性元件，示数装置和液压传动等。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kern w:val="0"/>
                <w:szCs w:val="21"/>
              </w:rPr>
              <w:t>汽车电工电子技术</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通过本课程的学习能够熟练掌握直流电路元件的测量及分析方法，正弦交流电与三相交流电的区别和特点，磁路与磁路元件和变压器的工作原理，以及电机的工作原理、特性和安全用电的常识。</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运用万用表测量交流电压、直流电压、交流电流、直流电流及电阻；直流电路元件的测量及分析方法；正弦交流电与三相交流电的区别和特点；磁路与磁路元件、变压器及电机的工作原理、特性和安全用电的常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kern w:val="0"/>
                <w:szCs w:val="21"/>
              </w:rPr>
              <w:t>液压与液力传动</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学生通过学习，掌握液压系统元件的结构、工作原理，以及典型液压系统系统的工作过程，并且知道上述系统在汽车上的应用，初步具有分析汽车制动系统、液压动力转向系统等工作状态的能力。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本课程学习液压传动的基础知识，主要内容包括液压动力元件、执行元件、控制元件、辅助元件及气动元件的结构及原理，液压、气压的基本回路，以及典型液压系统和气压传动系统等。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kern w:val="0"/>
                <w:szCs w:val="21"/>
              </w:rPr>
              <w:t>汽车维护与保养</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通过对课程的学习，训练和提高学生能使用合作维修工具和选择合适的专业工具独立进行车辆的维护基本技能;能够在工作中具备与客户的交流与协商能力，能够向客户咨询车况，查询车辆技术档案，初步评定车辆技术状况，能够遵循车辆维护工作安全规范，制定维护工作计划，正确选择检测设备和工具对车辆进行维护，能够完成车辆和系统的保养与维护中的各个学习项目，能够遵守相关法律、技术规定，按照正确规范进行操作，保证汽车维护质量。</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汽车维护管理中有关法律法规相关标准；汽车维护的基础知识；汽车维护的材料及设备使用技术；汽车定期与非定期维护的作业技术；常见汽车维护与保养操作规程；一定的沟通能力和组织协调能力；一定的分析和运用行进专业设备进行汽车维护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rPr>
              <w:t>汽车发动机故障诊断与修复</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通过本课程学习，掌握汽车发动机构造和汽车发动机电控技术两大部分内容，全面系统地学习汽车发动机基本原理、基本构造、电子控制系统、故障检测、诊断与排除等知识。</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内容包括汽车发动机的工作原理和总体结构、汽油机电子控制燃油喷射（EFI）系统、汽油机辅助控制系统、汽油机电子控制点火系统、汽油机电控燃油喷射系统常见故障诊断与排除、柴油机燃料供给系统、柴油机电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6</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汽车电气设备检修</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学生通过学习，掌握汽车电气设备各系统的结构特点及工作原理，会正确使用和保养工具、检测设备、维修设备，对常用的电气设备能够独立地完成拆装和检修，能够读懂汽车电路图，会用电路图分析汽车电路的工作过程。</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本课程学习汽车电源系统、汽车起动系统、汽车照明与信号系统、汽车仪表及报警系统、汽车舒适系统、空调系统、汽车安全气囊及防盗系统、全车线路等结构、工作原理，以及使用、检测、调试、维修等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7</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rPr>
              <w:t>汽车底盘及电控技术</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要求学生达到具有独立排除汽车底盘故障的方法和技巧，学会运用相关设备的使用方法并掌握汽车底盘系统维护及维修的方式方法。课程突出技能训练及职业素养的培养，最终达到国家汽车修理工职业资格相应的知识和技能要求。</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汽车传动系统、行驶系统、转向系统和制动系统的作用、组成及各组成部件的结构原理；汽车底盘各个系统的检测、调整及维修；汽车底盘维修中常用的工具、设备仪器的使用方法；汽车底盘系统的故障分析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8</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rPr>
              <w:t>车身综合修复训练</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本课程要求结合维修企业生产实际及技能需求，突出技能训练及职业素养的培养，同时，兼顾各专业课程之间的关系，由浅入深，将专业理论知识及岗位职业素养要求融入各训练项目，使学生在技能训练过程中能够主动学习并掌握基本理论，通过反复强化训练，最终达到汽车维修工职业资格相应的知识和技能要求。</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主要包括车身修复和涂装两个方向的内容，分为钣金修复学习和涂装技术学习两个阶段，结合企业的生产实际，真实再现企业的生产流程及质量评价体系，使学生在后期的生产实习及实际工作中能顺利过渡，达到校企衔接、相互融合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9</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rPr>
              <w:t>汽车检测与故障诊断</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主要让学生掌握汽车故障检测与维修的基本理论知识，能够根据故障出现的现象，对其进行原因分析。在课程实践教学上通过教师的示范，主要注重对查找故障和排除故障的方法掌握。主要注重实践技能的提高，通过课程实践教学中掌握的理论，及时的分析故障出现原因与故障部位，能够对汽车各系统的重要部位进行检测和调整，具备对汽车典型故障进行诊断、检测与排除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cs="宋体"/>
                <w:szCs w:val="21"/>
              </w:rPr>
              <w:t>本课程重点介绍常用汽车故障诊断检测设备的功能及使用，并结合了大量的汽车故障实例，包括汽车行驶动力不足故障诊断、汽车动力传输动力不良故障诊断、汽车操纵不良故障诊断等三个大的内容，38个具体故障，从现象入手，详尽的分析每一故障的原因，制订科学合理的维修方案，对《汽车发动机故障诊断与修复》、《汽车底盘及电控技术》、《</w:t>
            </w:r>
            <w:r>
              <w:rPr>
                <w:rFonts w:hint="eastAsia" w:ascii="宋体" w:hAnsi="宋体" w:eastAsia="宋体" w:cs="宋体"/>
                <w:color w:val="000000" w:themeColor="text1"/>
                <w:szCs w:val="21"/>
                <w14:textFill>
                  <w14:solidFill>
                    <w14:schemeClr w14:val="tx1"/>
                  </w14:solidFill>
                </w14:textFill>
              </w:rPr>
              <w:t>汽车电气设备检修</w:t>
            </w:r>
            <w:r>
              <w:rPr>
                <w:rFonts w:hint="eastAsia" w:ascii="宋体" w:hAnsi="宋体" w:cs="宋体"/>
                <w:szCs w:val="21"/>
              </w:rPr>
              <w:t>》等课程进行进一步的整合与加固，从而达到融会贯通，合理科学运用所学知识在较短的时间诊断并排除故障。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10</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汽车综合实训</w:t>
            </w:r>
          </w:p>
        </w:tc>
        <w:tc>
          <w:tcPr>
            <w:tcW w:w="4171" w:type="dxa"/>
            <w:tcBorders>
              <w:top w:val="single" w:color="auto" w:sz="4" w:space="0"/>
              <w:left w:val="single" w:color="auto" w:sz="4" w:space="0"/>
              <w:bottom w:val="single" w:color="auto" w:sz="4" w:space="0"/>
              <w:right w:val="single" w:color="auto" w:sz="4" w:space="0"/>
            </w:tcBorders>
            <w:vAlign w:val="center"/>
          </w:tcPr>
          <w:p>
            <w:pPr>
              <w:spacing w:line="276" w:lineRule="auto"/>
              <w:ind w:firstLine="420" w:firstLineChars="200"/>
            </w:pPr>
            <w:r>
              <w:rPr>
                <w:rFonts w:hint="eastAsia"/>
              </w:rPr>
              <w:t>本课程是职业院校汽车运用与维修专业拓展课程，课程要求结合维修企业生产实际及技能需求，突出技能训练及职业素养的培养，同时，兼顾各专业课程之间的关系，由浅入深，将专业理论知识及岗位职业素养要求融入各训练项目，使学生在技能训练过程中能够主动学习并掌握基本理论，通过反复强化训练，最终达到汽车维修工职业资格相应的知识和技能要求。</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bookmarkStart w:id="32" w:name="_Hlk118471784"/>
            <w:r>
              <w:rPr>
                <w:rFonts w:hint="eastAsia" w:ascii="宋体" w:hAnsi="宋体" w:cs="宋体"/>
                <w:szCs w:val="21"/>
              </w:rPr>
              <w:t>本课程以汽车发动机、底盘、电气设备各系统的典型故障案例为载体，基于各系统工作原理、拆装检测、故障诊断等设计具体情境，引导学生自主查阅资料，通过互动式学习提高学生自主学习能力，以适应顶岗实习及就业的需求。</w:t>
            </w:r>
            <w:bookmarkEnd w:id="32"/>
          </w:p>
        </w:tc>
      </w:tr>
    </w:tbl>
    <w:p>
      <w:pPr>
        <w:rPr>
          <w:rFonts w:ascii="黑体" w:hAnsi="黑体" w:eastAsia="黑体" w:cs="黑体"/>
          <w:bCs/>
          <w:color w:val="000000" w:themeColor="text1"/>
          <w:sz w:val="30"/>
          <w:szCs w:val="30"/>
          <w14:textFill>
            <w14:solidFill>
              <w14:schemeClr w14:val="tx1"/>
            </w14:solidFill>
          </w14:textFill>
        </w:rPr>
      </w:pPr>
      <w:bookmarkStart w:id="33" w:name="_Toc38299253"/>
      <w:bookmarkStart w:id="34" w:name="_Toc38201840"/>
      <w:r>
        <w:rPr>
          <w:rFonts w:hint="eastAsia" w:ascii="黑体" w:hAnsi="黑体" w:eastAsia="黑体" w:cs="黑体"/>
          <w:bCs/>
          <w:color w:val="000000" w:themeColor="text1"/>
          <w:sz w:val="30"/>
          <w:szCs w:val="30"/>
          <w14:textFill>
            <w14:solidFill>
              <w14:schemeClr w14:val="tx1"/>
            </w14:solidFill>
          </w14:textFill>
        </w:rPr>
        <w:br w:type="page"/>
      </w:r>
    </w:p>
    <w:p>
      <w:pPr>
        <w:pStyle w:val="35"/>
        <w:spacing w:line="560" w:lineRule="exact"/>
        <w:ind w:left="319" w:leftChars="152" w:firstLine="300" w:firstLineChars="100"/>
        <w:rPr>
          <w:rFonts w:ascii="黑体" w:hAnsi="黑体" w:eastAsia="黑体" w:cs="黑体"/>
          <w:b w:val="0"/>
          <w:bCs/>
          <w:color w:val="000000" w:themeColor="text1"/>
          <w:sz w:val="30"/>
          <w:szCs w:val="30"/>
          <w14:textFill>
            <w14:solidFill>
              <w14:schemeClr w14:val="tx1"/>
            </w14:solidFill>
          </w14:textFill>
        </w:rPr>
      </w:pPr>
      <w:bookmarkStart w:id="35" w:name="_Toc16060"/>
      <w:r>
        <w:rPr>
          <w:rFonts w:hint="eastAsia" w:ascii="黑体" w:hAnsi="黑体" w:eastAsia="黑体" w:cs="黑体"/>
          <w:b w:val="0"/>
          <w:bCs/>
          <w:color w:val="000000" w:themeColor="text1"/>
          <w:sz w:val="30"/>
          <w:szCs w:val="30"/>
          <w14:textFill>
            <w14:solidFill>
              <w14:schemeClr w14:val="tx1"/>
            </w14:solidFill>
          </w14:textFill>
        </w:rPr>
        <w:t>七、教学进程总体安排</w:t>
      </w:r>
      <w:bookmarkEnd w:id="35"/>
    </w:p>
    <w:p>
      <w:pPr>
        <w:pStyle w:val="84"/>
        <w:spacing w:line="560" w:lineRule="exact"/>
        <w:outlineLvl w:val="1"/>
        <w:rPr>
          <w:rFonts w:ascii="楷体_GB2312" w:hAnsi="楷体_GB2312" w:eastAsia="楷体_GB2312" w:cs="楷体_GB2312"/>
          <w:b w:val="0"/>
          <w:bCs/>
          <w:color w:val="000000" w:themeColor="text1"/>
          <w:sz w:val="30"/>
          <w:szCs w:val="30"/>
          <w14:textFill>
            <w14:solidFill>
              <w14:schemeClr w14:val="tx1"/>
            </w14:solidFill>
          </w14:textFill>
        </w:rPr>
      </w:pPr>
      <w:bookmarkStart w:id="36" w:name="_Toc18477"/>
      <w:r>
        <w:rPr>
          <w:rFonts w:hint="eastAsia" w:ascii="楷体_GB2312" w:hAnsi="楷体_GB2312" w:eastAsia="楷体_GB2312" w:cs="楷体_GB2312"/>
          <w:b w:val="0"/>
          <w:bCs/>
          <w:color w:val="000000" w:themeColor="text1"/>
          <w:sz w:val="30"/>
          <w:szCs w:val="30"/>
          <w14:textFill>
            <w14:solidFill>
              <w14:schemeClr w14:val="tx1"/>
            </w14:solidFill>
          </w14:textFill>
        </w:rPr>
        <w:t>（一）教育教学时间安排表</w:t>
      </w:r>
      <w:bookmarkEnd w:id="36"/>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bl>
    <w:p>
      <w:pPr>
        <w:pStyle w:val="84"/>
        <w:spacing w:line="560" w:lineRule="exact"/>
        <w:outlineLvl w:val="1"/>
        <w:rPr>
          <w:rFonts w:ascii="楷体_GB2312" w:hAnsi="楷体_GB2312" w:eastAsia="楷体_GB2312" w:cs="楷体_GB2312"/>
          <w:b w:val="0"/>
          <w:bCs/>
          <w:color w:val="000000" w:themeColor="text1"/>
          <w:sz w:val="32"/>
          <w:szCs w:val="32"/>
          <w14:textFill>
            <w14:solidFill>
              <w14:schemeClr w14:val="tx1"/>
            </w14:solidFill>
          </w14:textFill>
        </w:rPr>
      </w:pPr>
      <w:bookmarkStart w:id="37" w:name="_Toc20608"/>
      <w:r>
        <w:rPr>
          <w:rFonts w:hint="eastAsia" w:ascii="楷体_GB2312" w:hAnsi="楷体_GB2312" w:eastAsia="楷体_GB2312" w:cs="楷体_GB2312"/>
          <w:b w:val="0"/>
          <w:bCs/>
          <w:color w:val="000000" w:themeColor="text1"/>
          <w:sz w:val="30"/>
          <w:szCs w:val="30"/>
          <w14:textFill>
            <w14:solidFill>
              <w14:schemeClr w14:val="tx1"/>
            </w14:solidFill>
          </w14:textFill>
        </w:rPr>
        <w:t>（二）理论与实践教学学时分配表</w:t>
      </w:r>
      <w:bookmarkEnd w:id="37"/>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02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w:t>
            </w:r>
            <w:r>
              <w:rPr>
                <w:rFonts w:ascii="仿宋_GB2312" w:hAnsi="仿宋_GB2312" w:eastAsia="仿宋_GB2312" w:cs="仿宋_GB2312"/>
                <w:color w:val="000000" w:themeColor="text1"/>
                <w:sz w:val="24"/>
                <w:szCs w:val="24"/>
                <w14:textFill>
                  <w14:solidFill>
                    <w14:schemeClr w14:val="tx1"/>
                  </w14:solidFill>
                </w14:textFill>
              </w:rPr>
              <w:t>30</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1.2%</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1900</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w:t>
            </w:r>
            <w:r>
              <w:rPr>
                <w:rFonts w:ascii="仿宋_GB2312" w:hAnsi="仿宋_GB2312" w:eastAsia="仿宋_GB2312" w:cs="仿宋_GB2312"/>
                <w:color w:val="000000" w:themeColor="text1"/>
                <w:sz w:val="24"/>
                <w:szCs w:val="24"/>
                <w14:textFill>
                  <w14:solidFill>
                    <w14:schemeClr w14:val="tx1"/>
                  </w14:solidFill>
                </w14:textFill>
              </w:rPr>
              <w:t>44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3.4%</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1456</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r>
              <w:rPr>
                <w:rFonts w:ascii="仿宋_GB2312" w:hAnsi="仿宋_GB2312" w:eastAsia="仿宋_GB2312" w:cs="仿宋_GB2312"/>
                <w:color w:val="000000" w:themeColor="text1"/>
                <w:sz w:val="24"/>
                <w:szCs w:val="24"/>
                <w14:textFill>
                  <w14:solidFill>
                    <w14:schemeClr w14:val="tx1"/>
                  </w14:solidFill>
                </w14:textFill>
              </w:rPr>
              <w:t>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24</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52</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7.9%</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922</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090</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7.3%</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832</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98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20</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0.9%</w:t>
            </w:r>
          </w:p>
        </w:tc>
      </w:tr>
    </w:tbl>
    <w:p>
      <w:pPr>
        <w:spacing w:line="360" w:lineRule="auto"/>
        <w:ind w:firstLine="422"/>
        <w:jc w:val="center"/>
        <w:rPr>
          <w:rFonts w:ascii="宋体" w:hAnsi="宋体"/>
          <w:b/>
          <w:color w:val="000000" w:themeColor="text1"/>
          <w14:textFill>
            <w14:solidFill>
              <w14:schemeClr w14:val="tx1"/>
            </w14:solidFill>
          </w14:textFill>
        </w:rPr>
        <w:sectPr>
          <w:footerReference r:id="rId4" w:type="default"/>
          <w:pgSz w:w="11906" w:h="16838"/>
          <w:pgMar w:top="2098" w:right="1474" w:bottom="1984" w:left="1587" w:header="851" w:footer="992" w:gutter="0"/>
          <w:cols w:space="720" w:num="1"/>
          <w:docGrid w:type="lines" w:linePitch="312" w:charSpace="0"/>
        </w:sectPr>
      </w:pPr>
    </w:p>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bookmarkStart w:id="38" w:name="_Toc22338"/>
      <w:r>
        <w:rPr>
          <w:rFonts w:hint="eastAsia" w:ascii="楷体_GB2312" w:hAnsi="楷体_GB2312" w:eastAsia="楷体_GB2312" w:cs="楷体_GB2312"/>
          <w:b w:val="0"/>
          <w:bCs/>
          <w:color w:val="000000" w:themeColor="text1"/>
          <w:sz w:val="28"/>
          <w:szCs w:val="28"/>
          <w14:textFill>
            <w14:solidFill>
              <w14:schemeClr w14:val="tx1"/>
            </w14:solidFill>
          </w14:textFill>
        </w:rPr>
        <w:t>（三）教学进度安排计划表----必修课程设置及学分、学时、进程表</w:t>
      </w:r>
      <w:bookmarkEnd w:id="38"/>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类别</w:t>
            </w:r>
          </w:p>
        </w:tc>
        <w:tc>
          <w:tcPr>
            <w:tcW w:w="535"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序号</w:t>
            </w:r>
          </w:p>
        </w:tc>
        <w:tc>
          <w:tcPr>
            <w:tcW w:w="12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课程代码</w:t>
            </w:r>
          </w:p>
        </w:tc>
        <w:tc>
          <w:tcPr>
            <w:tcW w:w="2259"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课程名称</w:t>
            </w:r>
          </w:p>
        </w:tc>
        <w:tc>
          <w:tcPr>
            <w:tcW w:w="1351"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课程性质</w:t>
            </w:r>
          </w:p>
        </w:tc>
        <w:tc>
          <w:tcPr>
            <w:tcW w:w="64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学分</w:t>
            </w:r>
          </w:p>
        </w:tc>
        <w:tc>
          <w:tcPr>
            <w:tcW w:w="1566" w:type="dxa"/>
            <w:gridSpan w:val="3"/>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教学课时</w:t>
            </w:r>
          </w:p>
        </w:tc>
        <w:tc>
          <w:tcPr>
            <w:tcW w:w="3503" w:type="dxa"/>
            <w:gridSpan w:val="6"/>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教学进程(学期、教学活动周数</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课堂教学周数）</w:t>
            </w:r>
          </w:p>
        </w:tc>
        <w:tc>
          <w:tcPr>
            <w:tcW w:w="386"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考核</w:t>
            </w:r>
          </w:p>
        </w:tc>
        <w:tc>
          <w:tcPr>
            <w:tcW w:w="1061"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开课</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部门</w:t>
            </w:r>
          </w:p>
        </w:tc>
        <w:tc>
          <w:tcPr>
            <w:tcW w:w="131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2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259"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类型(A/B</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是否</w:t>
            </w:r>
          </w:p>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理实</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一体</w:t>
            </w:r>
          </w:p>
        </w:tc>
        <w:tc>
          <w:tcPr>
            <w:tcW w:w="64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总计</w:t>
            </w: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理论</w:t>
            </w:r>
          </w:p>
        </w:tc>
        <w:tc>
          <w:tcPr>
            <w:tcW w:w="52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实践</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5学期</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6学期</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2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259"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5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4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8" w:type="dxa"/>
            <w:vAlign w:val="center"/>
          </w:tcPr>
          <w:p>
            <w:pPr>
              <w:widowControl/>
              <w:jc w:val="center"/>
              <w:textAlignment w:val="center"/>
              <w:rPr>
                <w:rFonts w:ascii="楷体_GB2312" w:hAnsi="楷体_GB2312" w:eastAsia="宋体"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2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259"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5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4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2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16</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必    修    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14501184001</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14501184002</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14501184003</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形势与政策III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4</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14501184004</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形势与政策IV</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5</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14501184005</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形势与政策（专题）</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0.25</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6</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14501184006</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军训Ⅱ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90</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7</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14501184007</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军事理论</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E</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8</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14501184008</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劳动教育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E</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 w:val="15"/>
                <w:szCs w:val="15"/>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14501184009</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思想道德与法治</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1222"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14501184010</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思想政治理论课</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实践教学</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1222"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14501184011</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铸牢中华民族</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共同体意识</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必    修    课</w:t>
            </w:r>
          </w:p>
        </w:tc>
        <w:tc>
          <w:tcPr>
            <w:tcW w:w="535" w:type="dxa"/>
            <w:vAlign w:val="bottom"/>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lang w:bidi="ar"/>
              </w:rPr>
              <w:t>12</w:t>
            </w:r>
          </w:p>
        </w:tc>
        <w:tc>
          <w:tcPr>
            <w:tcW w:w="1222"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14501184012</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习近平新时代中国特色社会主义思想概论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13</w:t>
            </w:r>
          </w:p>
        </w:tc>
        <w:tc>
          <w:tcPr>
            <w:tcW w:w="1222"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14501184013</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毛泽东思想和中国特色社会主义理论体系概论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14</w:t>
            </w:r>
          </w:p>
        </w:tc>
        <w:tc>
          <w:tcPr>
            <w:tcW w:w="1222"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14501184014</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职业发展与就业指导</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14</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15</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14501184015</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高职英语Ⅰ</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12</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16</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14501184016</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高职英语Ⅱ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12</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17</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14501184017</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信息技术Ⅰ（高职）</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18</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14501184018</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信息技术Ⅱ（高职）</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19</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14501184019</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w:t>
            </w:r>
            <w:r>
              <w:rPr>
                <w:rFonts w:hint="eastAsia" w:ascii="宋体" w:hAnsi="宋体" w:eastAsia="宋体" w:cs="宋体"/>
                <w:bCs/>
                <w:color w:val="000000" w:themeColor="text1"/>
                <w:kern w:val="0"/>
                <w:szCs w:val="21"/>
                <w14:textFill>
                  <w14:solidFill>
                    <w14:schemeClr w14:val="tx1"/>
                  </w14:solidFill>
                </w14:textFill>
              </w:rPr>
              <w:t>Ⅰ</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20</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14501184020</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w:t>
            </w:r>
            <w:r>
              <w:rPr>
                <w:rFonts w:hint="eastAsia" w:ascii="宋体" w:hAnsi="宋体" w:eastAsia="宋体" w:cs="宋体"/>
                <w:bCs/>
                <w:color w:val="000000" w:themeColor="text1"/>
                <w:kern w:val="0"/>
                <w:szCs w:val="21"/>
                <w14:textFill>
                  <w14:solidFill>
                    <w14:schemeClr w14:val="tx1"/>
                  </w14:solidFill>
                </w14:textFill>
              </w:rPr>
              <w:t>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21</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14501184021</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体育与健康Ⅰ</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22</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14501184022</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体育与健康Ⅱ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23</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14501184023</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w:t>
            </w:r>
            <w:r>
              <w:rPr>
                <w:rFonts w:hint="eastAsia" w:ascii="宋体" w:hAnsi="宋体" w:eastAsia="宋体" w:cs="宋体"/>
                <w:bCs/>
                <w:color w:val="000000" w:themeColor="text1"/>
                <w:kern w:val="0"/>
                <w:szCs w:val="21"/>
                <w14:textFill>
                  <w14:solidFill>
                    <w14:schemeClr w14:val="tx1"/>
                  </w14:solidFill>
                </w14:textFill>
              </w:rPr>
              <w:t>Ⅰ</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lang w:bidi="ar"/>
              </w:rPr>
              <w:t>公共必修课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24</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14501184024</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w:t>
            </w:r>
            <w:r>
              <w:rPr>
                <w:rFonts w:hint="eastAsia" w:ascii="宋体" w:hAnsi="宋体" w:eastAsia="宋体" w:cs="宋体"/>
                <w:bCs/>
                <w:color w:val="000000" w:themeColor="text1"/>
                <w:kern w:val="0"/>
                <w:szCs w:val="21"/>
                <w14:textFill>
                  <w14:solidFill>
                    <w14:schemeClr w14:val="tx1"/>
                  </w14:solidFill>
                </w14:textFill>
              </w:rPr>
              <w:t>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25</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14501184025</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心理健康教育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28</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26</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14501184026</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大学生安全教育</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27</w:t>
            </w:r>
          </w:p>
        </w:tc>
        <w:tc>
          <w:tcPr>
            <w:tcW w:w="122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14501184027</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创新与创业教育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24</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42" w:type="dxa"/>
            <w:gridSpan w:val="6"/>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公共必修课小计</w:t>
            </w: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42</w:t>
            </w:r>
          </w:p>
        </w:tc>
        <w:tc>
          <w:tcPr>
            <w:tcW w:w="522"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spacing w:val="1"/>
                <w:w w:val="93"/>
                <w:kern w:val="0"/>
                <w:szCs w:val="21"/>
                <w14:textFill>
                  <w14:solidFill>
                    <w14:schemeClr w14:val="tx1"/>
                  </w14:solidFill>
                </w14:textFill>
              </w:rPr>
              <w:t>70</w:t>
            </w:r>
            <w:r>
              <w:rPr>
                <w:rFonts w:hint="eastAsia" w:ascii="宋体" w:hAnsi="宋体" w:eastAsia="宋体" w:cs="宋体"/>
                <w:bCs/>
                <w:color w:val="000000" w:themeColor="text1"/>
                <w:w w:val="93"/>
                <w:kern w:val="0"/>
                <w:szCs w:val="21"/>
                <w14:textFill>
                  <w14:solidFill>
                    <w14:schemeClr w14:val="tx1"/>
                  </w14:solidFill>
                </w14:textFill>
              </w:rPr>
              <w:t>2</w:t>
            </w:r>
          </w:p>
        </w:tc>
        <w:tc>
          <w:tcPr>
            <w:tcW w:w="522"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spacing w:val="1"/>
                <w:w w:val="93"/>
                <w:kern w:val="0"/>
                <w:szCs w:val="21"/>
                <w14:textFill>
                  <w14:solidFill>
                    <w14:schemeClr w14:val="tx1"/>
                  </w14:solidFill>
                </w14:textFill>
              </w:rPr>
              <w:t>4</w:t>
            </w:r>
            <w:r>
              <w:rPr>
                <w:rFonts w:hint="eastAsia" w:ascii="宋体" w:hAnsi="宋体" w:eastAsia="宋体" w:cs="宋体"/>
                <w:bCs/>
                <w:color w:val="000000" w:themeColor="text1"/>
                <w:w w:val="93"/>
                <w:kern w:val="0"/>
                <w:szCs w:val="21"/>
                <w14:textFill>
                  <w14:solidFill>
                    <w14:schemeClr w14:val="tx1"/>
                  </w14:solidFill>
                </w14:textFill>
              </w:rPr>
              <w:t>30</w:t>
            </w:r>
          </w:p>
        </w:tc>
        <w:tc>
          <w:tcPr>
            <w:tcW w:w="522"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spacing w:val="1"/>
                <w:w w:val="93"/>
                <w:kern w:val="0"/>
                <w:szCs w:val="21"/>
                <w14:textFill>
                  <w14:solidFill>
                    <w14:schemeClr w14:val="tx1"/>
                  </w14:solidFill>
                </w14:textFill>
              </w:rPr>
              <w:t>27</w:t>
            </w:r>
            <w:r>
              <w:rPr>
                <w:rFonts w:hint="eastAsia" w:ascii="宋体" w:hAnsi="宋体" w:eastAsia="宋体" w:cs="宋体"/>
                <w:bCs/>
                <w:color w:val="000000" w:themeColor="text1"/>
                <w:w w:val="93"/>
                <w:kern w:val="0"/>
                <w:szCs w:val="21"/>
                <w14:textFill>
                  <w14:solidFill>
                    <w14:schemeClr w14:val="tx1"/>
                  </w14:solidFill>
                </w14:textFill>
              </w:rPr>
              <w:t>2</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18</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14</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1061"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14501185001</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党史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restart"/>
            <w:vAlign w:val="center"/>
          </w:tcPr>
          <w:p>
            <w:pPr>
              <w:pStyle w:val="84"/>
              <w:jc w:val="left"/>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14501185002</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新中国史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14501185003</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改革开放史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4</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14501185004</w:t>
            </w:r>
          </w:p>
        </w:tc>
        <w:tc>
          <w:tcPr>
            <w:tcW w:w="225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社会主义发展史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64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5</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14501185005</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急救与自救（网）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restart"/>
            <w:vAlign w:val="center"/>
          </w:tcPr>
          <w:p>
            <w:pPr>
              <w:widowControl/>
              <w:jc w:val="left"/>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6</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14501185006</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中华优秀传统文化（网）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7</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14501185007</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大学生劳动就业法律问题解读（网）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8</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14501185008</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国防安全教育</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14501185009</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节能减排</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14501185010</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应用文写作</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14501185011</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唐诗宋词鉴赏</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bottom"/>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lang w:bidi="ar"/>
              </w:rPr>
              <w:t>12</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14501185012</w:t>
            </w:r>
          </w:p>
        </w:tc>
        <w:tc>
          <w:tcPr>
            <w:tcW w:w="225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礼仪素养</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13</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14501185013</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普通话</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14</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14501185014</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社交礼仪</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15</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14501185015</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市场营销</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16</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14501185016</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17</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14501185017</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18</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14501185018</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高职英语（拓展）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lang w:bidi="ar"/>
              </w:rPr>
              <w:t>19</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14501185019</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信息技术（拓展）</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20</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14501185020</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思想政治理论（拓展）</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21</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14501185021</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音乐欣赏</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22</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14501185022</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书画艺术欣赏</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65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64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23</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14501185023</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舞蹈</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24</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14501185024</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书法</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25</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14501185025</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体育（足球）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体育类课程至少选一门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26</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14501185026</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体育（篮球）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27</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14501185027</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体育（羽毛球）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28</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14501185028</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体育（乒乓球）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29</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14501185029</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体育（排球）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30</w:t>
            </w:r>
          </w:p>
        </w:tc>
        <w:tc>
          <w:tcPr>
            <w:tcW w:w="1222"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14501185030</w:t>
            </w:r>
          </w:p>
        </w:tc>
        <w:tc>
          <w:tcPr>
            <w:tcW w:w="225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健美操</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64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42" w:type="dxa"/>
            <w:gridSpan w:val="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公共选修课小计</w:t>
            </w:r>
          </w:p>
        </w:tc>
        <w:tc>
          <w:tcPr>
            <w:tcW w:w="64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96</w:t>
            </w:r>
          </w:p>
        </w:tc>
        <w:tc>
          <w:tcPr>
            <w:tcW w:w="52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64</w:t>
            </w:r>
          </w:p>
        </w:tc>
        <w:tc>
          <w:tcPr>
            <w:tcW w:w="52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583"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1.5</w:t>
            </w:r>
          </w:p>
        </w:tc>
        <w:tc>
          <w:tcPr>
            <w:tcW w:w="583"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1.5</w:t>
            </w:r>
          </w:p>
        </w:tc>
        <w:tc>
          <w:tcPr>
            <w:tcW w:w="583"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83"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88"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LrV"/>
            <w:vAlign w:val="center"/>
          </w:tcPr>
          <w:p>
            <w:pPr>
              <w:pStyle w:val="84"/>
              <w:ind w:left="113" w:right="113"/>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专业必修   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222" w:type="dxa"/>
          </w:tcPr>
          <w:p>
            <w:pPr>
              <w:jc w:val="center"/>
              <w:outlineLvl w:val="1"/>
              <w:rPr>
                <w:rFonts w:ascii="宋体" w:hAnsi="宋体" w:eastAsia="宋体" w:cs="宋体"/>
                <w:color w:val="000000"/>
                <w:kern w:val="0"/>
                <w:szCs w:val="21"/>
                <w:lang w:bidi="ar"/>
              </w:rPr>
            </w:pPr>
            <w:r>
              <w:rPr>
                <w:rFonts w:ascii="宋体" w:hAnsi="宋体" w:eastAsia="宋体" w:cs="宋体"/>
                <w:color w:val="000000"/>
                <w:kern w:val="0"/>
                <w:szCs w:val="21"/>
                <w:lang w:bidi="ar"/>
              </w:rPr>
              <w:t>14501151500</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机械设计基础</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cs="宋体"/>
                <w:b w:val="0"/>
                <w:color w:val="000000" w:themeColor="text1"/>
                <w:kern w:val="0"/>
                <w:sz w:val="21"/>
                <w:szCs w:val="21"/>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14501151501</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汽车电工电子技术</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14501151502</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液压与液力传动</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4</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14501151503</w:t>
            </w:r>
          </w:p>
        </w:tc>
        <w:tc>
          <w:tcPr>
            <w:tcW w:w="2259"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汽车维护与保养</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5</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14501151504</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 xml:space="preserve">★汽车发动机故障诊断与修复I </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 w:val="18"/>
                <w:szCs w:val="18"/>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64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6</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14501151505</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★汽车底盘及电控技术I</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7</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14501151506</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★汽车电气设备检修I</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8</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14501151507</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★汽车发动机故障诊断与修复II</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14501151508</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★汽车底盘及电控技术II</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shd w:val="clear" w:color="auto" w:fill="auto"/>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14501151509</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 xml:space="preserve">★汽车电气设备检修II </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14501151510</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车身综合修复训练</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2</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14501151511</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★汽车检测与故障诊断</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3</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14501151512</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★汽车综合实训</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65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 w:val="18"/>
                <w:szCs w:val="18"/>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96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cs="宋体"/>
                <w:bCs/>
                <w:color w:val="000000" w:themeColor="text1"/>
                <w:kern w:val="0"/>
                <w:sz w:val="21"/>
                <w:szCs w:val="21"/>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4</w:t>
            </w:r>
          </w:p>
        </w:tc>
        <w:tc>
          <w:tcPr>
            <w:tcW w:w="1222" w:type="dxa"/>
          </w:tcPr>
          <w:p>
            <w:pPr>
              <w:jc w:val="center"/>
              <w:outlineLvl w:val="1"/>
              <w:rPr>
                <w:rFonts w:ascii="宋体" w:hAnsi="宋体" w:eastAsia="宋体" w:cs="宋体"/>
                <w:color w:val="000000"/>
                <w:kern w:val="0"/>
                <w:sz w:val="18"/>
                <w:szCs w:val="18"/>
                <w:lang w:bidi="ar"/>
              </w:rPr>
            </w:pPr>
            <w:r>
              <w:rPr>
                <w:rFonts w:ascii="宋体" w:hAnsi="宋体" w:eastAsia="宋体" w:cs="宋体"/>
                <w:color w:val="000000"/>
                <w:kern w:val="0"/>
                <w:szCs w:val="21"/>
                <w:lang w:bidi="ar"/>
              </w:rPr>
              <w:t>14501153500</w:t>
            </w:r>
          </w:p>
        </w:tc>
        <w:tc>
          <w:tcPr>
            <w:tcW w:w="225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rPr>
              <w:t>顶岗实习</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6</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7</w:t>
            </w:r>
            <w:r>
              <w:rPr>
                <w:rFonts w:ascii="宋体" w:hAnsi="宋体" w:eastAsia="宋体" w:cs="宋体"/>
                <w:bCs/>
                <w:color w:val="000000" w:themeColor="text1"/>
                <w:kern w:val="0"/>
                <w:szCs w:val="21"/>
                <w14:textFill>
                  <w14:solidFill>
                    <w14:schemeClr w14:val="tx1"/>
                  </w14:solidFill>
                </w14:textFill>
              </w:rPr>
              <w:t>80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7</w:t>
            </w:r>
            <w:r>
              <w:rPr>
                <w:rFonts w:ascii="宋体" w:hAnsi="宋体" w:eastAsia="宋体" w:cs="宋体"/>
                <w:bCs/>
                <w:color w:val="000000" w:themeColor="text1"/>
                <w:kern w:val="0"/>
                <w:szCs w:val="21"/>
                <w14:textFill>
                  <w14:solidFill>
                    <w14:schemeClr w14:val="tx1"/>
                  </w14:solidFill>
                </w14:textFill>
              </w:rPr>
              <w:t>80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2</w:t>
            </w:r>
            <w:r>
              <w:rPr>
                <w:rFonts w:cs="宋体"/>
                <w:bCs/>
                <w:color w:val="000000" w:themeColor="text1"/>
                <w:kern w:val="0"/>
                <w:sz w:val="21"/>
                <w:szCs w:val="21"/>
                <w14:textFill>
                  <w14:solidFill>
                    <w14:schemeClr w14:val="tx1"/>
                  </w14:solidFill>
                </w14:textFill>
              </w:rPr>
              <w:t>0W</w:t>
            </w:r>
          </w:p>
        </w:tc>
        <w:tc>
          <w:tcPr>
            <w:tcW w:w="386"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D</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42" w:type="dxa"/>
            <w:gridSpan w:val="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专业必修课小计</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0</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16</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24</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12</w:t>
            </w:r>
          </w:p>
        </w:tc>
        <w:tc>
          <w:tcPr>
            <w:tcW w:w="58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pStyle w:val="84"/>
              <w:ind w:left="113" w:right="113"/>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专业选修课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222" w:type="dxa"/>
          </w:tcPr>
          <w:p>
            <w:pPr>
              <w:jc w:val="center"/>
              <w:outlineLvl w:val="1"/>
              <w:rPr>
                <w:rFonts w:ascii="宋体" w:hAnsi="宋体" w:eastAsia="宋体" w:cs="宋体"/>
                <w:color w:val="000000"/>
                <w:kern w:val="0"/>
                <w:szCs w:val="21"/>
                <w:lang w:bidi="ar"/>
              </w:rPr>
            </w:pPr>
            <w:r>
              <w:rPr>
                <w:rFonts w:ascii="宋体" w:hAnsi="宋体" w:eastAsia="宋体" w:cs="宋体"/>
                <w:color w:val="000000"/>
                <w:kern w:val="0"/>
                <w:szCs w:val="21"/>
                <w:lang w:bidi="ar"/>
              </w:rPr>
              <w:t>14501152500</w:t>
            </w:r>
          </w:p>
        </w:tc>
        <w:tc>
          <w:tcPr>
            <w:tcW w:w="2259"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汽车安全驾驶与驾考</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ascii="宋体" w:hAnsi="宋体" w:eastAsia="宋体" w:cs="宋体"/>
                <w:color w:val="000000"/>
                <w:kern w:val="0"/>
                <w:szCs w:val="21"/>
                <w:lang w:bidi="ar"/>
              </w:rPr>
              <w:t>2</w:t>
            </w:r>
          </w:p>
        </w:tc>
        <w:tc>
          <w:tcPr>
            <w:tcW w:w="1222" w:type="dxa"/>
          </w:tcPr>
          <w:p>
            <w:pPr>
              <w:jc w:val="center"/>
              <w:outlineLvl w:val="1"/>
              <w:rPr>
                <w:rFonts w:ascii="宋体" w:hAnsi="宋体" w:eastAsia="宋体" w:cs="宋体"/>
                <w:color w:val="000000"/>
                <w:kern w:val="0"/>
                <w:szCs w:val="21"/>
                <w:lang w:bidi="ar"/>
              </w:rPr>
            </w:pPr>
            <w:r>
              <w:rPr>
                <w:rFonts w:ascii="宋体" w:hAnsi="宋体" w:eastAsia="宋体" w:cs="宋体"/>
                <w:color w:val="000000"/>
                <w:kern w:val="0"/>
                <w:szCs w:val="21"/>
                <w:lang w:bidi="ar"/>
              </w:rPr>
              <w:t>14501152501</w:t>
            </w:r>
          </w:p>
        </w:tc>
        <w:tc>
          <w:tcPr>
            <w:tcW w:w="2259"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pPr>
            <w:r>
              <w:rPr>
                <w:rFonts w:hint="eastAsia" w:ascii="宋体" w:hAnsi="宋体" w:eastAsia="宋体" w:cs="宋体"/>
                <w:bCs/>
                <w:color w:val="000000" w:themeColor="text1"/>
                <w:kern w:val="0"/>
                <w:szCs w:val="21"/>
                <w14:textFill>
                  <w14:solidFill>
                    <w14:schemeClr w14:val="tx1"/>
                  </w14:solidFill>
                </w14:textFill>
              </w:rPr>
              <w:t>汽车营销</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B</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pP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pPr>
            <w:r>
              <w:rPr>
                <w:rFonts w:ascii="宋体" w:hAnsi="宋体" w:eastAsia="宋体" w:cs="宋体"/>
                <w:bCs/>
                <w:color w:val="000000" w:themeColor="text1"/>
                <w:kern w:val="0"/>
                <w:sz w:val="18"/>
                <w:szCs w:val="18"/>
                <w14:textFill>
                  <w14:solidFill>
                    <w14:schemeClr w14:val="tx1"/>
                  </w14:solidFill>
                </w14:textFill>
              </w:rPr>
              <w:t>64</w:t>
            </w:r>
          </w:p>
        </w:tc>
        <w:tc>
          <w:tcPr>
            <w:tcW w:w="522" w:type="dxa"/>
            <w:vAlign w:val="center"/>
          </w:tcPr>
          <w:p>
            <w:pPr>
              <w:jc w:val="center"/>
              <w:textAlignment w:val="center"/>
            </w:pPr>
            <w:r>
              <w:rPr>
                <w:rFonts w:ascii="宋体" w:hAnsi="宋体" w:eastAsia="宋体" w:cs="宋体"/>
                <w:bCs/>
                <w:color w:val="000000" w:themeColor="text1"/>
                <w:kern w:val="0"/>
                <w:szCs w:val="21"/>
                <w14:textFill>
                  <w14:solidFill>
                    <w14:schemeClr w14:val="tx1"/>
                  </w14:solidFill>
                </w14:textFill>
              </w:rPr>
              <w:t>40</w:t>
            </w:r>
          </w:p>
        </w:tc>
        <w:tc>
          <w:tcPr>
            <w:tcW w:w="522" w:type="dxa"/>
            <w:vAlign w:val="center"/>
          </w:tcPr>
          <w:p>
            <w:pPr>
              <w:jc w:val="center"/>
              <w:textAlignment w:val="center"/>
            </w:pPr>
            <w:r>
              <w:rPr>
                <w:rFonts w:ascii="宋体" w:hAnsi="宋体" w:eastAsia="宋体" w:cs="宋体"/>
                <w:bCs/>
                <w:color w:val="000000" w:themeColor="text1"/>
                <w:kern w:val="0"/>
                <w:szCs w:val="21"/>
                <w14:textFill>
                  <w14:solidFill>
                    <w14:schemeClr w14:val="tx1"/>
                  </w14:solidFill>
                </w14:textFill>
              </w:rPr>
              <w:t>24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3</w:t>
            </w:r>
          </w:p>
        </w:tc>
        <w:tc>
          <w:tcPr>
            <w:tcW w:w="1222" w:type="dxa"/>
          </w:tcPr>
          <w:p>
            <w:pPr>
              <w:jc w:val="center"/>
              <w:outlineLvl w:val="1"/>
              <w:rPr>
                <w:rFonts w:ascii="宋体" w:hAnsi="宋体" w:eastAsia="宋体" w:cs="宋体"/>
                <w:color w:val="000000"/>
                <w:kern w:val="0"/>
                <w:szCs w:val="21"/>
                <w:lang w:bidi="ar"/>
              </w:rPr>
            </w:pPr>
            <w:r>
              <w:rPr>
                <w:rFonts w:ascii="宋体" w:hAnsi="宋体" w:eastAsia="宋体" w:cs="宋体"/>
                <w:color w:val="000000"/>
                <w:kern w:val="0"/>
                <w:szCs w:val="21"/>
                <w:lang w:bidi="ar"/>
              </w:rPr>
              <w:t>14501152502</w:t>
            </w:r>
          </w:p>
        </w:tc>
        <w:tc>
          <w:tcPr>
            <w:tcW w:w="2259"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汽车售后服务与管理</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40</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cs="宋体"/>
                <w:bCs/>
                <w:color w:val="000000" w:themeColor="text1"/>
                <w:kern w:val="0"/>
                <w:sz w:val="21"/>
                <w:szCs w:val="21"/>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ascii="宋体" w:hAnsi="宋体" w:eastAsia="宋体" w:cs="宋体"/>
                <w:color w:val="000000"/>
                <w:kern w:val="0"/>
                <w:szCs w:val="21"/>
                <w:lang w:bidi="ar"/>
              </w:rPr>
              <w:t>4</w:t>
            </w:r>
          </w:p>
        </w:tc>
        <w:tc>
          <w:tcPr>
            <w:tcW w:w="1222" w:type="dxa"/>
          </w:tcPr>
          <w:p>
            <w:pPr>
              <w:jc w:val="center"/>
              <w:outlineLvl w:val="1"/>
              <w:rPr>
                <w:rFonts w:ascii="宋体" w:hAnsi="宋体" w:eastAsia="宋体" w:cs="宋体"/>
                <w:color w:val="000000"/>
                <w:kern w:val="0"/>
                <w:szCs w:val="21"/>
                <w:lang w:bidi="ar"/>
              </w:rPr>
            </w:pPr>
            <w:r>
              <w:rPr>
                <w:rFonts w:ascii="宋体" w:hAnsi="宋体" w:eastAsia="宋体" w:cs="宋体"/>
                <w:color w:val="000000"/>
                <w:kern w:val="0"/>
                <w:szCs w:val="21"/>
                <w:lang w:bidi="ar"/>
              </w:rPr>
              <w:t>14501153503</w:t>
            </w:r>
          </w:p>
        </w:tc>
        <w:tc>
          <w:tcPr>
            <w:tcW w:w="2259" w:type="dxa"/>
            <w:tcBorders>
              <w:top w:val="single" w:color="000000" w:sz="4" w:space="0"/>
              <w:left w:val="single" w:color="auto" w:sz="4" w:space="0"/>
              <w:bottom w:val="single" w:color="000000" w:sz="4" w:space="0"/>
              <w:right w:val="single" w:color="000000" w:sz="4" w:space="0"/>
            </w:tcBorders>
            <w:shd w:val="clear" w:color="auto" w:fill="FFFFFF" w:themeFill="background1"/>
            <w:vAlign w:val="center"/>
          </w:tcPr>
          <w:p>
            <w:pPr>
              <w:jc w:val="center"/>
              <w:textAlignment w:val="center"/>
            </w:pPr>
            <w:r>
              <w:rPr>
                <w:rFonts w:hint="eastAsia" w:ascii="宋体" w:hAnsi="宋体" w:eastAsia="宋体" w:cs="宋体"/>
                <w:bCs/>
                <w:color w:val="000000" w:themeColor="text1"/>
                <w:kern w:val="0"/>
                <w:szCs w:val="21"/>
                <w14:textFill>
                  <w14:solidFill>
                    <w14:schemeClr w14:val="tx1"/>
                  </w14:solidFill>
                </w14:textFill>
              </w:rPr>
              <w:t>新能源汽车概论</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65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pPr>
            <w:r>
              <w:rPr>
                <w:rFonts w:ascii="宋体" w:hAnsi="宋体" w:eastAsia="宋体" w:cs="宋体"/>
                <w:bCs/>
                <w:color w:val="000000" w:themeColor="text1"/>
                <w:kern w:val="0"/>
                <w:sz w:val="18"/>
                <w:szCs w:val="18"/>
                <w14:textFill>
                  <w14:solidFill>
                    <w14:schemeClr w14:val="tx1"/>
                  </w14:solidFill>
                </w14:textFill>
              </w:rPr>
              <w:t>64</w:t>
            </w:r>
          </w:p>
        </w:tc>
        <w:tc>
          <w:tcPr>
            <w:tcW w:w="522" w:type="dxa"/>
            <w:vAlign w:val="center"/>
          </w:tcPr>
          <w:p>
            <w:pPr>
              <w:jc w:val="center"/>
              <w:textAlignment w:val="center"/>
            </w:pPr>
            <w:r>
              <w:rPr>
                <w:rFonts w:ascii="宋体" w:hAnsi="宋体" w:eastAsia="宋体" w:cs="宋体"/>
                <w:bCs/>
                <w:color w:val="000000" w:themeColor="text1"/>
                <w:kern w:val="0"/>
                <w:szCs w:val="21"/>
                <w14:textFill>
                  <w14:solidFill>
                    <w14:schemeClr w14:val="tx1"/>
                  </w14:solidFill>
                </w14:textFill>
              </w:rPr>
              <w:t>40</w:t>
            </w:r>
          </w:p>
        </w:tc>
        <w:tc>
          <w:tcPr>
            <w:tcW w:w="522" w:type="dxa"/>
            <w:vAlign w:val="center"/>
          </w:tcPr>
          <w:p>
            <w:pPr>
              <w:jc w:val="center"/>
              <w:textAlignment w:val="center"/>
            </w:pPr>
            <w:r>
              <w:rPr>
                <w:rFonts w:ascii="宋体" w:hAnsi="宋体" w:eastAsia="宋体" w:cs="宋体"/>
                <w:bCs/>
                <w:color w:val="000000" w:themeColor="text1"/>
                <w:kern w:val="0"/>
                <w:szCs w:val="21"/>
                <w14:textFill>
                  <w14:solidFill>
                    <w14:schemeClr w14:val="tx1"/>
                  </w14:solidFill>
                </w14:textFill>
              </w:rPr>
              <w:t>24</w:t>
            </w: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Cs/>
                <w:color w:val="000000" w:themeColor="text1"/>
                <w:kern w:val="0"/>
                <w:sz w:val="21"/>
                <w:szCs w:val="21"/>
                <w14:textFill>
                  <w14:solidFill>
                    <w14:schemeClr w14:val="tx1"/>
                  </w14:solidFill>
                </w14:textFill>
              </w:rPr>
              <w:t>√</w:t>
            </w: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b w:val="0"/>
                <w:bCs/>
                <w:sz w:val="21"/>
                <w:szCs w:val="21"/>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42" w:type="dxa"/>
            <w:gridSpan w:val="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专业选修课小计</w:t>
            </w:r>
          </w:p>
        </w:tc>
        <w:tc>
          <w:tcPr>
            <w:tcW w:w="64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24</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52</w:t>
            </w:r>
          </w:p>
        </w:tc>
        <w:tc>
          <w:tcPr>
            <w:tcW w:w="52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7</w:t>
            </w:r>
            <w:r>
              <w:rPr>
                <w:rFonts w:ascii="宋体" w:hAnsi="宋体" w:eastAsia="宋体" w:cs="宋体"/>
                <w:bCs/>
                <w:color w:val="000000" w:themeColor="text1"/>
                <w:kern w:val="0"/>
                <w:szCs w:val="21"/>
                <w14:textFill>
                  <w14:solidFill>
                    <w14:schemeClr w14:val="tx1"/>
                  </w14:solidFill>
                </w14:textFill>
              </w:rPr>
              <w:t>2</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shd w:val="clear" w:color="auto" w:fill="FFFFFF" w:themeFill="background1"/>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rPr>
              <w:t>√</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3" w:type="dxa"/>
            <w:shd w:val="clear" w:color="auto" w:fill="FFFFFF" w:themeFill="background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8</w:t>
            </w: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24" w:type="dxa"/>
            <w:gridSpan w:val="1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平均周学时</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6</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6</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4</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5</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0</w:t>
            </w: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学分总计、学时总计</w:t>
            </w:r>
          </w:p>
        </w:tc>
        <w:tc>
          <w:tcPr>
            <w:tcW w:w="220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58</w:t>
            </w:r>
          </w:p>
        </w:tc>
        <w:tc>
          <w:tcPr>
            <w:tcW w:w="2332"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922</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选修课程：学分总计、学时总计、占总学时比例</w:t>
            </w:r>
          </w:p>
        </w:tc>
        <w:tc>
          <w:tcPr>
            <w:tcW w:w="220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0</w:t>
            </w:r>
          </w:p>
        </w:tc>
        <w:tc>
          <w:tcPr>
            <w:tcW w:w="2332"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20</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1%</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实践性教学：学时总计、占总学时比例</w:t>
            </w:r>
          </w:p>
        </w:tc>
        <w:tc>
          <w:tcPr>
            <w:tcW w:w="220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832</w:t>
            </w:r>
          </w:p>
        </w:tc>
        <w:tc>
          <w:tcPr>
            <w:tcW w:w="2332"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2.7%</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786" w:type="dxa"/>
            <w:gridSpan w:val="20"/>
          </w:tcPr>
          <w:p>
            <w:pPr>
              <w:widowControl/>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注：1.课堂教学周=教学活动周数（不小于20周）-实践教学周数；</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2.平均周学时仅为校核各学期周学时均衡度；</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3.W表示C类课程、军训训练、劳动安全教育、考试、毕业鉴定等的周数；</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4.岗位实习可在5,6学期分段安排，累计不少于6个月（26周）；</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5.选修课中明确各项工作和学分的转换。</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6.标注★的为专业核心课程。</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7.</w:t>
            </w:r>
            <w:r>
              <w:rPr>
                <w:rFonts w:hint="eastAsia" w:ascii="宋体" w:hAnsi="宋体" w:eastAsia="宋体" w:cs="宋体"/>
                <w:bCs/>
                <w:color w:val="000000" w:themeColor="text1"/>
                <w:kern w:val="0"/>
                <w:szCs w:val="21"/>
                <w14:textFill>
                  <w14:solidFill>
                    <w14:schemeClr w14:val="tx1"/>
                  </w14:solidFill>
                </w14:textFill>
              </w:rPr>
              <w:t xml:space="preserve">“课程类型”（A）理论课   （B）理论+实践    （C）实践课； </w:t>
            </w:r>
          </w:p>
          <w:p>
            <w:pPr>
              <w:widowControl/>
              <w:ind w:firstLine="630" w:firstLineChars="300"/>
              <w:jc w:val="left"/>
              <w:textAlignment w:val="top"/>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“课程考核”：（A）开卷考试   （B）闭卷考试  （C）实践考核  （D）实习鉴定  （E）报告评定</w:t>
            </w:r>
          </w:p>
        </w:tc>
      </w:tr>
    </w:tbl>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sectPr>
          <w:headerReference r:id="rId5" w:type="default"/>
          <w:footerReference r:id="rId6" w:type="default"/>
          <w:pgSz w:w="16838" w:h="11906" w:orient="landscape"/>
          <w:pgMar w:top="1418" w:right="1134" w:bottom="244" w:left="1134" w:header="964" w:footer="1304" w:gutter="0"/>
          <w:cols w:space="720" w:num="1"/>
          <w:docGrid w:linePitch="312" w:charSpace="0"/>
        </w:sectPr>
      </w:pPr>
    </w:p>
    <w:bookmarkEnd w:id="33"/>
    <w:bookmarkEnd w:id="34"/>
    <w:p>
      <w:pPr>
        <w:pStyle w:val="35"/>
        <w:spacing w:line="480" w:lineRule="exact"/>
        <w:ind w:left="279" w:leftChars="133" w:firstLine="280" w:firstLineChars="100"/>
        <w:rPr>
          <w:rFonts w:ascii="黑体" w:hAnsi="黑体" w:eastAsia="黑体" w:cs="黑体"/>
          <w:b w:val="0"/>
          <w:bCs/>
          <w:color w:val="000000" w:themeColor="text1"/>
          <w14:textFill>
            <w14:solidFill>
              <w14:schemeClr w14:val="tx1"/>
            </w14:solidFill>
          </w14:textFill>
        </w:rPr>
      </w:pPr>
      <w:bookmarkStart w:id="39" w:name="_Toc38299254"/>
      <w:bookmarkStart w:id="40" w:name="_Toc31424"/>
      <w:bookmarkStart w:id="41" w:name="_Toc38201841"/>
      <w:bookmarkStart w:id="42" w:name="_Hlk98766987"/>
      <w:r>
        <w:rPr>
          <w:rFonts w:hint="eastAsia" w:ascii="黑体" w:hAnsi="黑体" w:eastAsia="黑体" w:cs="黑体"/>
          <w:b w:val="0"/>
          <w:bCs/>
          <w:color w:val="000000" w:themeColor="text1"/>
          <w14:textFill>
            <w14:solidFill>
              <w14:schemeClr w14:val="tx1"/>
            </w14:solidFill>
          </w14:textFill>
        </w:rPr>
        <w:t>八、实施与保障</w:t>
      </w:r>
      <w:bookmarkEnd w:id="39"/>
      <w:bookmarkEnd w:id="40"/>
      <w:bookmarkEnd w:id="41"/>
    </w:p>
    <w:bookmarkEnd w:id="42"/>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3" w:name="_Toc25638"/>
      <w:r>
        <w:rPr>
          <w:rFonts w:hint="eastAsia" w:ascii="楷体_GB2312" w:hAnsi="楷体_GB2312" w:eastAsia="楷体_GB2312" w:cs="楷体_GB2312"/>
          <w:bCs/>
          <w:color w:val="000000" w:themeColor="text1"/>
          <w:sz w:val="28"/>
          <w:szCs w:val="28"/>
          <w14:textFill>
            <w14:solidFill>
              <w14:schemeClr w14:val="tx1"/>
            </w14:solidFill>
          </w14:textFill>
        </w:rPr>
        <w:t>（一）师资队伍</w:t>
      </w:r>
      <w:bookmarkEnd w:id="43"/>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1.专业带头人</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带头人原则上应具有副高及以上职称，能够较好地把握国内外汽车维修行业、专业发展，能广泛联系行业企业，了解行业企业对本专业人才的需求实际，教学设计、专业研究能力强，组织开展教科研工作能力强，在本区域或本领域具有一定的专业影响力。</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2.骨干教师</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任教师应具有高校教师资格；有理想情操、有扎实学识、有仁爱之心；具有汽车运用与维修、车辆工程等相关专业本科及以上学历；具有扎实的本专业相关理论功底和实践能力；具有较强信息化教学能力，能够开展课程教学改革和科学研究；有每5年累计不少于6个月的企业实践经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3.兼职教师</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bookmarkStart w:id="44" w:name="_Toc31426"/>
      <w:r>
        <w:rPr>
          <w:rFonts w:hint="eastAsia" w:ascii="仿宋_GB2312" w:hAnsi="仿宋_GB2312" w:eastAsia="仿宋_GB2312" w:cs="仿宋_GB2312"/>
          <w:bCs/>
          <w:color w:val="000000" w:themeColor="text1"/>
          <w:sz w:val="28"/>
          <w:szCs w:val="28"/>
          <w14:textFill>
            <w14:solidFill>
              <w14:schemeClr w14:val="tx1"/>
            </w14:solidFill>
          </w14:textFill>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楷体_GB2312" w:hAnsi="楷体_GB2312" w:eastAsia="楷体_GB2312" w:cs="楷体_GB2312"/>
          <w:bCs/>
          <w:color w:val="000000" w:themeColor="text1"/>
          <w:sz w:val="28"/>
          <w:szCs w:val="28"/>
          <w14:textFill>
            <w14:solidFill>
              <w14:schemeClr w14:val="tx1"/>
            </w14:solidFill>
          </w14:textFill>
        </w:rPr>
        <w:t>（二）教学设施</w:t>
      </w:r>
      <w:bookmarkEnd w:id="44"/>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1.校内实践教学条件</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本专业现有实训室</w:t>
      </w:r>
      <w:r>
        <w:rPr>
          <w:rFonts w:ascii="仿宋_GB2312" w:hAnsi="仿宋_GB2312" w:eastAsia="仿宋_GB2312" w:cs="仿宋_GB2312"/>
          <w:color w:val="000000" w:themeColor="text1"/>
          <w:sz w:val="28"/>
          <w:szCs w:val="28"/>
          <w14:textFill>
            <w14:solidFill>
              <w14:schemeClr w14:val="tx1"/>
            </w14:solidFill>
          </w14:textFill>
        </w:rPr>
        <w:t>7</w:t>
      </w:r>
      <w:r>
        <w:rPr>
          <w:rFonts w:hint="eastAsia" w:ascii="仿宋_GB2312" w:hAnsi="仿宋_GB2312" w:eastAsia="仿宋_GB2312" w:cs="仿宋_GB2312"/>
          <w:color w:val="000000" w:themeColor="text1"/>
          <w:sz w:val="28"/>
          <w:szCs w:val="28"/>
          <w14:textFill>
            <w14:solidFill>
              <w14:schemeClr w14:val="tx1"/>
            </w14:solidFill>
          </w14:textFill>
        </w:rPr>
        <w:t>个</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122"/>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序号</w:t>
            </w:r>
          </w:p>
        </w:tc>
        <w:tc>
          <w:tcPr>
            <w:tcW w:w="180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名称</w:t>
            </w:r>
          </w:p>
        </w:tc>
        <w:tc>
          <w:tcPr>
            <w:tcW w:w="412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主要设备</w:t>
            </w:r>
          </w:p>
        </w:tc>
        <w:tc>
          <w:tcPr>
            <w:tcW w:w="203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电工电子实训室</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电工电子综合试验台及通用示波器、万用表、电工工具等</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汽车电工电子基础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汽车发动机机械实训室</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实物解剖发动机、连杆校正器、气门座口修复设备、零部什清洗设备及发动机维修测量常用工具等</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汽车发动机故障诊断与修复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汽车发动机控制系统工位</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发动机各系统示教板、发动机各系统零部件、发动机总成实训台、</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汽车发动机故障诊断与修复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4</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汽车底盘机械实训室</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汽车底盘解剖实物、转向系及前桥总成、离合器总成、手动变速器总成、自动变速器总成、传动轴总成、后桥及悬架总成、制动系统总成，以及汽车底盘检测所需的仪器设备，轮胎拆装机、轮胎动平衡机等</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汽车底盘及电控技术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5</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汽车电气工位</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点火系统示教台、汽车电气系统示教台(包含发电系统、起动系统、灯光系统、辅助电气设备等)、汽车电气系统考核装置，常见系统部件及检测工具，汽车电气各部件总成、汽车专用万用表、汽车专用示波器、空调制冷剂电子测漏仪、制冷剂加注回收机、汽车故障电脑诊断仪、常用拆装工具等</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汽车电气设备检修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6</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汽车整车工位</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汽车整车以及整车检测维修所需设备，举升机、汽车专用万用表、汽车专用示波器、汽车故障诊断仪、尾气分析仪等</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汽车维护与保养、汽车检测与故障诊断、汽车营销等课程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7</w:t>
            </w:r>
          </w:p>
        </w:tc>
        <w:tc>
          <w:tcPr>
            <w:tcW w:w="180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车身修复及涂装工位</w:t>
            </w:r>
          </w:p>
        </w:tc>
        <w:tc>
          <w:tcPr>
            <w:tcW w:w="4122"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大梁校正仪，外形修复机、二氧化碳保护焊机、调漆台、喷漆房、抛光机、打蜡机等常用钣金、喷漆、美容工具设备</w:t>
            </w:r>
          </w:p>
        </w:tc>
        <w:tc>
          <w:tcPr>
            <w:tcW w:w="2037" w:type="dxa"/>
            <w:shd w:val="clear" w:color="auto" w:fill="auto"/>
            <w:vAlign w:val="center"/>
          </w:tcPr>
          <w:p>
            <w:pPr>
              <w:snapToGrid w:val="0"/>
              <w:jc w:val="left"/>
              <w:rPr>
                <w:rFonts w:asciiTheme="minorEastAsia" w:hAnsiTheme="minorEastAsia" w:cstheme="minorEastAsia"/>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车身综合修复训练</w:t>
            </w:r>
            <w:r>
              <w:rPr>
                <w:rFonts w:hint="eastAsia" w:asciiTheme="minorEastAsia" w:hAnsiTheme="minorEastAsia" w:cstheme="minorEastAsia"/>
                <w:color w:val="000000" w:themeColor="text1"/>
                <w:szCs w:val="21"/>
                <w14:textFill>
                  <w14:solidFill>
                    <w14:schemeClr w14:val="tx1"/>
                  </w14:solidFill>
                </w14:textFill>
              </w:rPr>
              <w:t>等课程</w:t>
            </w:r>
          </w:p>
        </w:tc>
      </w:tr>
    </w:tbl>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2.校外实践教学条件</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为提高学生的岗位实践能力，体验企业的管理模式，提前在学生的头脑当中建立质量意识、时间观念、效益的概念，以及建立安全第一的生产意识，要在学校周边地区建设一批适合学生岗位实习、半工半读教学形式的校外实训基地。由企业能工巧匠、工程技术人员承担部分教学任务。企业兼职教师参与指导现场教学或岗位实习，学生在实训基地将完成汽车保养维护、汽车机械拆装、汽车故障诊断、汽车车身修复等实训。同时，也派教师进入企业，为企业提供技术服务；培训企业员工，成为教师和员工的双重身份。</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5" w:name="_Toc4916"/>
      <w:r>
        <w:rPr>
          <w:rFonts w:hint="eastAsia" w:ascii="楷体_GB2312" w:hAnsi="楷体_GB2312" w:eastAsia="楷体_GB2312" w:cs="楷体_GB2312"/>
          <w:bCs/>
          <w:color w:val="000000" w:themeColor="text1"/>
          <w:sz w:val="28"/>
          <w:szCs w:val="28"/>
          <w14:textFill>
            <w14:solidFill>
              <w14:schemeClr w14:val="tx1"/>
            </w14:solidFill>
          </w14:textFill>
        </w:rPr>
        <w:t>（三）教学资源</w:t>
      </w:r>
      <w:bookmarkEnd w:id="45"/>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教学资源主要包括能够满足学生专业学习、教师专业教学研究和教学实施所需的教材、图书文献及数字教学资源等。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1.教材选用基本要求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按照国家规定选用优质教材，禁止不合格的教材进入课堂。学校建立有教材工作委员会，完善教材选用制度，经过规范程序择优选用教材。</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2.图书文献配备基本要求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图书文献配备能满足人才培养、专业建设、教科研等工作的需要，方便师生查询、借阅。专业类图书文献主要包括：有关汽车检测与维修的技术、标准、方法、操作规范以及实务案例类图书等。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3.数字教学资源配置基本要求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6" w:name="_Toc30455"/>
      <w:r>
        <w:rPr>
          <w:rFonts w:hint="eastAsia" w:ascii="楷体_GB2312" w:hAnsi="楷体_GB2312" w:eastAsia="楷体_GB2312" w:cs="楷体_GB2312"/>
          <w:bCs/>
          <w:color w:val="000000" w:themeColor="text1"/>
          <w:sz w:val="28"/>
          <w:szCs w:val="28"/>
          <w14:textFill>
            <w14:solidFill>
              <w14:schemeClr w14:val="tx1"/>
            </w14:solidFill>
          </w14:textFill>
        </w:rPr>
        <w:t>（四）教学方法</w:t>
      </w:r>
      <w:bookmarkEnd w:id="46"/>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1.教学方法</w:t>
      </w:r>
    </w:p>
    <w:p>
      <w:pPr>
        <w:snapToGrid w:val="0"/>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pPr>
        <w:snapToGrid w:val="0"/>
        <w:spacing w:line="480" w:lineRule="exact"/>
        <w:ind w:firstLine="562"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2.教学手段</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7" w:name="_Toc16020"/>
      <w:r>
        <w:rPr>
          <w:rFonts w:hint="eastAsia" w:ascii="楷体_GB2312" w:hAnsi="楷体_GB2312" w:eastAsia="楷体_GB2312" w:cs="楷体_GB2312"/>
          <w:bCs/>
          <w:color w:val="000000" w:themeColor="text1"/>
          <w:sz w:val="28"/>
          <w:szCs w:val="28"/>
          <w14:textFill>
            <w14:solidFill>
              <w14:schemeClr w14:val="tx1"/>
            </w14:solidFill>
          </w14:textFill>
        </w:rPr>
        <w:t>（五）学习评价</w:t>
      </w:r>
      <w:bookmarkEnd w:id="47"/>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8" w:name="_Toc24701"/>
      <w:r>
        <w:rPr>
          <w:rFonts w:hint="eastAsia" w:ascii="楷体_GB2312" w:hAnsi="楷体_GB2312" w:eastAsia="楷体_GB2312" w:cs="楷体_GB2312"/>
          <w:bCs/>
          <w:color w:val="000000" w:themeColor="text1"/>
          <w:sz w:val="28"/>
          <w:szCs w:val="28"/>
          <w14:textFill>
            <w14:solidFill>
              <w14:schemeClr w14:val="tx1"/>
            </w14:solidFill>
          </w14:textFill>
        </w:rPr>
        <w:t>（六）质量管理</w:t>
      </w:r>
      <w:bookmarkEnd w:id="48"/>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1.组织保障</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学院实施院、系（部）二级教学质量管理机制。</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（1）学院相关部门实施一级管理</w:t>
      </w:r>
    </w:p>
    <w:p>
      <w:pPr>
        <w:spacing w:line="480" w:lineRule="exact"/>
        <w:ind w:firstLine="562"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专业建设委员会：</w:t>
      </w:r>
      <w:r>
        <w:rPr>
          <w:rFonts w:hint="eastAsia" w:ascii="仿宋_GB2312" w:hAnsi="仿宋_GB2312" w:eastAsia="仿宋_GB2312" w:cs="仿宋_GB2312"/>
          <w:color w:val="000000" w:themeColor="text1"/>
          <w:sz w:val="28"/>
          <w:szCs w:val="28"/>
          <w14:textFill>
            <w14:solidFill>
              <w14:schemeClr w14:val="tx1"/>
            </w14:solidFill>
          </w14:textFill>
        </w:rPr>
        <w:t>行使学院教学指导职能。主要监控专业人才培养目标定位、重大教学改革方案和人才培养方案的制定、修订，实验实训室建设等。</w:t>
      </w:r>
    </w:p>
    <w:p>
      <w:pPr>
        <w:spacing w:line="480" w:lineRule="exact"/>
        <w:ind w:firstLine="562" w:firstLineChars="200"/>
        <w:jc w:val="left"/>
        <w:rPr>
          <w:rFonts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（2）各系（部）实施二级管理</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pPr>
        <w:spacing w:line="480" w:lineRule="exact"/>
        <w:ind w:firstLine="562" w:firstLineChars="200"/>
        <w:jc w:val="left"/>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2.制度保障</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（1）教学运行及教学管理相关检查制度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每学期开展期中、期末两次集中教学检查，教学检查覆盖教师教学的备课、课堂讲授、作业批改、实验实习、辅导答疑、考试、阅卷、试卷分析、毕业汇报等教学全过程。</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（2）师资队伍建设制度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（3）听课制度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（4）教师教学质量考核制度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（5）毕业生跟踪调查制度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（6）校企合作制度建设</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p>
    <w:p>
      <w:pPr>
        <w:snapToGrid w:val="0"/>
        <w:spacing w:line="480" w:lineRule="exact"/>
        <w:ind w:firstLine="560" w:firstLineChars="200"/>
        <w:outlineLvl w:val="0"/>
        <w:rPr>
          <w:rFonts w:ascii="黑体" w:hAnsi="黑体" w:eastAsia="黑体" w:cs="黑体"/>
          <w:bCs/>
          <w:color w:val="000000" w:themeColor="text1"/>
          <w:sz w:val="28"/>
          <w:szCs w:val="28"/>
          <w14:textFill>
            <w14:solidFill>
              <w14:schemeClr w14:val="tx1"/>
            </w14:solidFill>
          </w14:textFill>
        </w:rPr>
      </w:pPr>
      <w:bookmarkStart w:id="49" w:name="_Toc23606"/>
      <w:r>
        <w:rPr>
          <w:rFonts w:hint="eastAsia" w:ascii="黑体" w:hAnsi="黑体" w:eastAsia="黑体" w:cs="黑体"/>
          <w:bCs/>
          <w:color w:val="000000" w:themeColor="text1"/>
          <w:sz w:val="28"/>
          <w:szCs w:val="28"/>
          <w14:textFill>
            <w14:solidFill>
              <w14:schemeClr w14:val="tx1"/>
            </w14:solidFill>
          </w14:textFill>
        </w:rPr>
        <w:t>九、毕业生要求</w:t>
      </w:r>
      <w:bookmarkEnd w:id="49"/>
    </w:p>
    <w:p>
      <w:pPr>
        <w:spacing w:line="480" w:lineRule="exact"/>
        <w:ind w:firstLine="560" w:firstLineChars="200"/>
        <w:textAlignment w:val="top"/>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学生通过3年的学习，要求学生所学的全部课程考试合格，获得通用证书以及行业资格证书，并达到本专业人才培养目标和培养规格的要求。</w:t>
      </w:r>
      <w:bookmarkStart w:id="50" w:name="_Hlk76643124"/>
      <w:r>
        <w:rPr>
          <w:rFonts w:hint="eastAsia" w:ascii="仿宋_GB2312" w:hAnsi="仿宋_GB2312" w:eastAsia="仿宋_GB2312" w:cs="仿宋_GB2312"/>
          <w:color w:val="000000" w:themeColor="text1"/>
          <w:sz w:val="28"/>
          <w:szCs w:val="28"/>
          <w14:textFill>
            <w14:solidFill>
              <w14:schemeClr w14:val="tx1"/>
            </w14:solidFill>
          </w14:textFill>
        </w:rPr>
        <w:t>学生须修满本专业人才培养方案规定的</w:t>
      </w:r>
      <w:r>
        <w:rPr>
          <w:rFonts w:ascii="仿宋_GB2312" w:hAnsi="仿宋_GB2312" w:eastAsia="仿宋_GB2312" w:cs="仿宋_GB2312"/>
          <w:color w:val="000000" w:themeColor="text1"/>
          <w:sz w:val="28"/>
          <w:szCs w:val="28"/>
          <w14:textFill>
            <w14:solidFill>
              <w14:schemeClr w14:val="tx1"/>
            </w14:solidFill>
          </w14:textFill>
        </w:rPr>
        <w:t>2922</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ascii="仿宋_GB2312" w:hAnsi="仿宋_GB2312" w:eastAsia="仿宋_GB2312" w:cs="仿宋_GB2312"/>
          <w:color w:val="000000" w:themeColor="text1"/>
          <w:sz w:val="28"/>
          <w:szCs w:val="28"/>
          <w14:textFill>
            <w14:solidFill>
              <w14:schemeClr w14:val="tx1"/>
            </w14:solidFill>
          </w14:textFill>
        </w:rPr>
        <w:t>158</w:t>
      </w:r>
      <w:r>
        <w:rPr>
          <w:rFonts w:hint="eastAsia" w:ascii="仿宋_GB2312" w:hAnsi="仿宋_GB2312" w:eastAsia="仿宋_GB2312" w:cs="仿宋_GB2312"/>
          <w:color w:val="000000" w:themeColor="text1"/>
          <w:sz w:val="28"/>
          <w:szCs w:val="28"/>
          <w14:textFill>
            <w14:solidFill>
              <w14:schemeClr w14:val="tx1"/>
            </w14:solidFill>
          </w14:textFill>
        </w:rPr>
        <w:t>学分。其中公共基础必修课程</w:t>
      </w:r>
      <w:r>
        <w:rPr>
          <w:rFonts w:ascii="仿宋_GB2312" w:hAnsi="仿宋_GB2312" w:eastAsia="仿宋_GB2312" w:cs="仿宋_GB2312"/>
          <w:color w:val="000000" w:themeColor="text1"/>
          <w:sz w:val="28"/>
          <w:szCs w:val="28"/>
          <w14:textFill>
            <w14:solidFill>
              <w14:schemeClr w14:val="tx1"/>
            </w14:solidFill>
          </w14:textFill>
        </w:rPr>
        <w:t>702</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ascii="仿宋_GB2312" w:hAnsi="仿宋_GB2312" w:eastAsia="仿宋_GB2312" w:cs="仿宋_GB2312"/>
          <w:color w:val="000000" w:themeColor="text1"/>
          <w:sz w:val="28"/>
          <w:szCs w:val="28"/>
          <w14:textFill>
            <w14:solidFill>
              <w14:schemeClr w14:val="tx1"/>
            </w14:solidFill>
          </w14:textFill>
        </w:rPr>
        <w:t>42</w:t>
      </w:r>
      <w:r>
        <w:rPr>
          <w:rFonts w:hint="eastAsia" w:ascii="仿宋_GB2312" w:hAnsi="仿宋_GB2312" w:eastAsia="仿宋_GB2312" w:cs="仿宋_GB2312"/>
          <w:color w:val="000000" w:themeColor="text1"/>
          <w:sz w:val="28"/>
          <w:szCs w:val="28"/>
          <w14:textFill>
            <w14:solidFill>
              <w14:schemeClr w14:val="tx1"/>
            </w14:solidFill>
          </w14:textFill>
        </w:rPr>
        <w:t>学分；专业技能必修课程</w:t>
      </w:r>
      <w:r>
        <w:rPr>
          <w:rFonts w:ascii="仿宋_GB2312" w:hAnsi="仿宋_GB2312" w:eastAsia="仿宋_GB2312" w:cs="仿宋_GB2312"/>
          <w:color w:val="000000" w:themeColor="text1"/>
          <w:sz w:val="28"/>
          <w:szCs w:val="28"/>
          <w14:textFill>
            <w14:solidFill>
              <w14:schemeClr w14:val="tx1"/>
            </w14:solidFill>
          </w14:textFill>
        </w:rPr>
        <w:t>1900</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ascii="仿宋_GB2312" w:hAnsi="仿宋_GB2312" w:eastAsia="仿宋_GB2312" w:cs="仿宋_GB2312"/>
          <w:color w:val="000000" w:themeColor="text1"/>
          <w:sz w:val="28"/>
          <w:szCs w:val="28"/>
          <w14:textFill>
            <w14:solidFill>
              <w14:schemeClr w14:val="tx1"/>
            </w14:solidFill>
          </w14:textFill>
        </w:rPr>
        <w:t>96</w:t>
      </w:r>
      <w:r>
        <w:rPr>
          <w:rFonts w:hint="eastAsia" w:ascii="仿宋_GB2312" w:hAnsi="仿宋_GB2312" w:eastAsia="仿宋_GB2312" w:cs="仿宋_GB2312"/>
          <w:color w:val="000000" w:themeColor="text1"/>
          <w:sz w:val="28"/>
          <w:szCs w:val="28"/>
          <w14:textFill>
            <w14:solidFill>
              <w14:schemeClr w14:val="tx1"/>
            </w14:solidFill>
          </w14:textFill>
        </w:rPr>
        <w:t>学分；公共基础选修课程</w:t>
      </w:r>
      <w:r>
        <w:rPr>
          <w:rFonts w:ascii="仿宋_GB2312" w:hAnsi="仿宋_GB2312" w:eastAsia="仿宋_GB2312" w:cs="仿宋_GB2312"/>
          <w:color w:val="000000" w:themeColor="text1"/>
          <w:sz w:val="28"/>
          <w:szCs w:val="28"/>
          <w14:textFill>
            <w14:solidFill>
              <w14:schemeClr w14:val="tx1"/>
            </w14:solidFill>
          </w14:textFill>
        </w:rPr>
        <w:t>96</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ascii="仿宋_GB2312" w:hAnsi="仿宋_GB2312" w:eastAsia="仿宋_GB2312" w:cs="仿宋_GB2312"/>
          <w:color w:val="000000" w:themeColor="text1"/>
          <w:sz w:val="28"/>
          <w:szCs w:val="28"/>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t>学分；专业技能选修课程</w:t>
      </w:r>
      <w:r>
        <w:rPr>
          <w:rFonts w:ascii="仿宋_GB2312" w:hAnsi="仿宋_GB2312" w:eastAsia="仿宋_GB2312" w:cs="仿宋_GB2312"/>
          <w:color w:val="000000" w:themeColor="text1"/>
          <w:sz w:val="28"/>
          <w:szCs w:val="28"/>
          <w14:textFill>
            <w14:solidFill>
              <w14:schemeClr w14:val="tx1"/>
            </w14:solidFill>
          </w14:textFill>
        </w:rPr>
        <w:t>224</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ascii="仿宋_GB2312" w:hAnsi="仿宋_GB2312" w:eastAsia="仿宋_GB2312" w:cs="仿宋_GB2312"/>
          <w:color w:val="000000" w:themeColor="text1"/>
          <w:sz w:val="28"/>
          <w:szCs w:val="28"/>
          <w14:textFill>
            <w14:solidFill>
              <w14:schemeClr w14:val="tx1"/>
            </w14:solidFill>
          </w14:textFill>
        </w:rPr>
        <w:t>14</w:t>
      </w:r>
      <w:r>
        <w:rPr>
          <w:rFonts w:hint="eastAsia" w:ascii="仿宋_GB2312" w:hAnsi="仿宋_GB2312" w:eastAsia="仿宋_GB2312" w:cs="仿宋_GB2312"/>
          <w:color w:val="000000" w:themeColor="text1"/>
          <w:sz w:val="28"/>
          <w:szCs w:val="28"/>
          <w14:textFill>
            <w14:solidFill>
              <w14:schemeClr w14:val="tx1"/>
            </w14:solidFill>
          </w14:textFill>
        </w:rPr>
        <w:t>学分。</w:t>
      </w:r>
      <w:bookmarkEnd w:id="50"/>
    </w:p>
    <w:p>
      <w:pPr>
        <w:snapToGrid w:val="0"/>
        <w:contextualSpacing/>
        <w:rPr>
          <w:rFonts w:asciiTheme="minorEastAsia" w:hAnsiTheme="minorEastAsia" w:cstheme="minorEastAsia"/>
          <w:color w:val="000000" w:themeColor="text1"/>
          <w:szCs w:val="21"/>
          <w14:textFill>
            <w14:solidFill>
              <w14:schemeClr w14:val="tx1"/>
            </w14:solidFill>
          </w14:textFill>
        </w:rPr>
      </w:pPr>
    </w:p>
    <w:sectPr>
      <w:headerReference r:id="rId7" w:type="default"/>
      <w:footerReference r:id="rId8" w:type="default"/>
      <w:pgSz w:w="11906" w:h="16838"/>
      <w:pgMar w:top="993" w:right="1418" w:bottom="1134" w:left="1133" w:header="737" w:footer="595"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Wingdings 3">
    <w:panose1 w:val="05040102010807070707"/>
    <w:charset w:val="02"/>
    <w:family w:val="roma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Variable Text">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3YzYwMDJlMWRkMzQwZDVmMzc4YjlmYmU3OTU3ZDIifQ=="/>
  </w:docVars>
  <w:rsids>
    <w:rsidRoot w:val="00396F2A"/>
    <w:rsid w:val="000055FF"/>
    <w:rsid w:val="00005AAF"/>
    <w:rsid w:val="0000661F"/>
    <w:rsid w:val="000078D9"/>
    <w:rsid w:val="000309FB"/>
    <w:rsid w:val="00047480"/>
    <w:rsid w:val="00047A66"/>
    <w:rsid w:val="0007792E"/>
    <w:rsid w:val="00077B18"/>
    <w:rsid w:val="000A0F3F"/>
    <w:rsid w:val="000C5D36"/>
    <w:rsid w:val="000D0EDF"/>
    <w:rsid w:val="000D3DE9"/>
    <w:rsid w:val="000F542C"/>
    <w:rsid w:val="000F72E7"/>
    <w:rsid w:val="00107425"/>
    <w:rsid w:val="001117A8"/>
    <w:rsid w:val="0011201C"/>
    <w:rsid w:val="00113D7F"/>
    <w:rsid w:val="001256E3"/>
    <w:rsid w:val="001401B7"/>
    <w:rsid w:val="00180227"/>
    <w:rsid w:val="001802F6"/>
    <w:rsid w:val="001B15A9"/>
    <w:rsid w:val="001B5263"/>
    <w:rsid w:val="001D54D3"/>
    <w:rsid w:val="001F5D4C"/>
    <w:rsid w:val="002075F3"/>
    <w:rsid w:val="002078A9"/>
    <w:rsid w:val="00214E4A"/>
    <w:rsid w:val="00216FF8"/>
    <w:rsid w:val="00221FB9"/>
    <w:rsid w:val="00223AFB"/>
    <w:rsid w:val="0022406A"/>
    <w:rsid w:val="00230505"/>
    <w:rsid w:val="0025164C"/>
    <w:rsid w:val="0025752D"/>
    <w:rsid w:val="0027150D"/>
    <w:rsid w:val="002917AC"/>
    <w:rsid w:val="002A5AA4"/>
    <w:rsid w:val="002B4721"/>
    <w:rsid w:val="002B482E"/>
    <w:rsid w:val="002B5902"/>
    <w:rsid w:val="002D595A"/>
    <w:rsid w:val="002E4C3C"/>
    <w:rsid w:val="002E4F69"/>
    <w:rsid w:val="002F19CB"/>
    <w:rsid w:val="002F71E0"/>
    <w:rsid w:val="003073AE"/>
    <w:rsid w:val="0032212B"/>
    <w:rsid w:val="00326C99"/>
    <w:rsid w:val="00327A34"/>
    <w:rsid w:val="00345116"/>
    <w:rsid w:val="00351689"/>
    <w:rsid w:val="00370C95"/>
    <w:rsid w:val="00371A6C"/>
    <w:rsid w:val="00382F59"/>
    <w:rsid w:val="00383DAA"/>
    <w:rsid w:val="00384377"/>
    <w:rsid w:val="003875DF"/>
    <w:rsid w:val="00387718"/>
    <w:rsid w:val="00391215"/>
    <w:rsid w:val="00396385"/>
    <w:rsid w:val="00396F2A"/>
    <w:rsid w:val="003B02E8"/>
    <w:rsid w:val="003B487F"/>
    <w:rsid w:val="003C7B60"/>
    <w:rsid w:val="003D31EF"/>
    <w:rsid w:val="003E21F2"/>
    <w:rsid w:val="003E6E1E"/>
    <w:rsid w:val="00401558"/>
    <w:rsid w:val="00402400"/>
    <w:rsid w:val="004223C6"/>
    <w:rsid w:val="004237A3"/>
    <w:rsid w:val="00450884"/>
    <w:rsid w:val="004523A5"/>
    <w:rsid w:val="00452B60"/>
    <w:rsid w:val="00461065"/>
    <w:rsid w:val="0046530D"/>
    <w:rsid w:val="00477537"/>
    <w:rsid w:val="00477EF0"/>
    <w:rsid w:val="004A338A"/>
    <w:rsid w:val="004A4849"/>
    <w:rsid w:val="004C0546"/>
    <w:rsid w:val="004E541C"/>
    <w:rsid w:val="004E6C6B"/>
    <w:rsid w:val="004F3CDA"/>
    <w:rsid w:val="005005FF"/>
    <w:rsid w:val="00502B79"/>
    <w:rsid w:val="0051119A"/>
    <w:rsid w:val="00513EED"/>
    <w:rsid w:val="00530CB6"/>
    <w:rsid w:val="00531F9B"/>
    <w:rsid w:val="005409C2"/>
    <w:rsid w:val="00541959"/>
    <w:rsid w:val="00553A10"/>
    <w:rsid w:val="005639F1"/>
    <w:rsid w:val="005703D9"/>
    <w:rsid w:val="005778B9"/>
    <w:rsid w:val="005B0C12"/>
    <w:rsid w:val="005C7255"/>
    <w:rsid w:val="005D7AD6"/>
    <w:rsid w:val="005F1FEA"/>
    <w:rsid w:val="006138A7"/>
    <w:rsid w:val="006379ED"/>
    <w:rsid w:val="00665E82"/>
    <w:rsid w:val="006816CD"/>
    <w:rsid w:val="00687BF5"/>
    <w:rsid w:val="006A7A69"/>
    <w:rsid w:val="006F3596"/>
    <w:rsid w:val="006F526C"/>
    <w:rsid w:val="006F7CC9"/>
    <w:rsid w:val="0070401C"/>
    <w:rsid w:val="00714EB3"/>
    <w:rsid w:val="00717C20"/>
    <w:rsid w:val="00735164"/>
    <w:rsid w:val="00740C94"/>
    <w:rsid w:val="00752BAA"/>
    <w:rsid w:val="00756351"/>
    <w:rsid w:val="00782DF5"/>
    <w:rsid w:val="00783029"/>
    <w:rsid w:val="007A227B"/>
    <w:rsid w:val="007A6498"/>
    <w:rsid w:val="007B0929"/>
    <w:rsid w:val="007B1E2F"/>
    <w:rsid w:val="007C43B5"/>
    <w:rsid w:val="007C45A5"/>
    <w:rsid w:val="007D2883"/>
    <w:rsid w:val="007E1B22"/>
    <w:rsid w:val="007E2EF7"/>
    <w:rsid w:val="007E6C39"/>
    <w:rsid w:val="0080172C"/>
    <w:rsid w:val="00812401"/>
    <w:rsid w:val="00815D72"/>
    <w:rsid w:val="00823AC8"/>
    <w:rsid w:val="00846678"/>
    <w:rsid w:val="008726FA"/>
    <w:rsid w:val="008737A6"/>
    <w:rsid w:val="008824FE"/>
    <w:rsid w:val="008865D4"/>
    <w:rsid w:val="008B5A1C"/>
    <w:rsid w:val="008E1450"/>
    <w:rsid w:val="009250AB"/>
    <w:rsid w:val="00930514"/>
    <w:rsid w:val="00932207"/>
    <w:rsid w:val="00933A1A"/>
    <w:rsid w:val="0093725C"/>
    <w:rsid w:val="009372EF"/>
    <w:rsid w:val="00940FEF"/>
    <w:rsid w:val="00943B14"/>
    <w:rsid w:val="009478A5"/>
    <w:rsid w:val="00950BD0"/>
    <w:rsid w:val="009519C6"/>
    <w:rsid w:val="009621CD"/>
    <w:rsid w:val="00967F30"/>
    <w:rsid w:val="00971BEF"/>
    <w:rsid w:val="00973685"/>
    <w:rsid w:val="00975B0E"/>
    <w:rsid w:val="00990FB7"/>
    <w:rsid w:val="00991589"/>
    <w:rsid w:val="009A7C34"/>
    <w:rsid w:val="009A7C9A"/>
    <w:rsid w:val="009B4EF4"/>
    <w:rsid w:val="009B69FE"/>
    <w:rsid w:val="009D29A3"/>
    <w:rsid w:val="009F1186"/>
    <w:rsid w:val="009F73A9"/>
    <w:rsid w:val="00A00F40"/>
    <w:rsid w:val="00A05CC9"/>
    <w:rsid w:val="00A06E1A"/>
    <w:rsid w:val="00A07635"/>
    <w:rsid w:val="00A10FC7"/>
    <w:rsid w:val="00A13A41"/>
    <w:rsid w:val="00A1716A"/>
    <w:rsid w:val="00A20F9F"/>
    <w:rsid w:val="00A210CF"/>
    <w:rsid w:val="00A22DD1"/>
    <w:rsid w:val="00A25422"/>
    <w:rsid w:val="00A25503"/>
    <w:rsid w:val="00A25B2D"/>
    <w:rsid w:val="00A35578"/>
    <w:rsid w:val="00A36682"/>
    <w:rsid w:val="00A470D9"/>
    <w:rsid w:val="00A6493A"/>
    <w:rsid w:val="00A65546"/>
    <w:rsid w:val="00A66661"/>
    <w:rsid w:val="00A97FEA"/>
    <w:rsid w:val="00AC1281"/>
    <w:rsid w:val="00AD7A67"/>
    <w:rsid w:val="00AE5234"/>
    <w:rsid w:val="00AE58DD"/>
    <w:rsid w:val="00AF1D8A"/>
    <w:rsid w:val="00AF6C25"/>
    <w:rsid w:val="00B36497"/>
    <w:rsid w:val="00B50CD6"/>
    <w:rsid w:val="00B52B9D"/>
    <w:rsid w:val="00B55E8B"/>
    <w:rsid w:val="00B64ED4"/>
    <w:rsid w:val="00B7238C"/>
    <w:rsid w:val="00B96017"/>
    <w:rsid w:val="00BD71D3"/>
    <w:rsid w:val="00BE0533"/>
    <w:rsid w:val="00BE0D51"/>
    <w:rsid w:val="00BE188E"/>
    <w:rsid w:val="00BF2386"/>
    <w:rsid w:val="00BF3AAE"/>
    <w:rsid w:val="00BF52BD"/>
    <w:rsid w:val="00BF7A87"/>
    <w:rsid w:val="00C00125"/>
    <w:rsid w:val="00C01DB6"/>
    <w:rsid w:val="00C20334"/>
    <w:rsid w:val="00C22AD3"/>
    <w:rsid w:val="00C231B5"/>
    <w:rsid w:val="00C267DE"/>
    <w:rsid w:val="00C56A02"/>
    <w:rsid w:val="00C603FA"/>
    <w:rsid w:val="00C71339"/>
    <w:rsid w:val="00C72132"/>
    <w:rsid w:val="00C73DC7"/>
    <w:rsid w:val="00C77E5C"/>
    <w:rsid w:val="00C92ED0"/>
    <w:rsid w:val="00CA79EC"/>
    <w:rsid w:val="00CC0072"/>
    <w:rsid w:val="00CD02C0"/>
    <w:rsid w:val="00CD1DD1"/>
    <w:rsid w:val="00CE48B5"/>
    <w:rsid w:val="00CE51E8"/>
    <w:rsid w:val="00CE62B0"/>
    <w:rsid w:val="00CE636E"/>
    <w:rsid w:val="00D0170E"/>
    <w:rsid w:val="00D16CDF"/>
    <w:rsid w:val="00D36E21"/>
    <w:rsid w:val="00D50ED3"/>
    <w:rsid w:val="00D52022"/>
    <w:rsid w:val="00D614BC"/>
    <w:rsid w:val="00D63058"/>
    <w:rsid w:val="00D70072"/>
    <w:rsid w:val="00D70AE3"/>
    <w:rsid w:val="00D77F43"/>
    <w:rsid w:val="00D97E58"/>
    <w:rsid w:val="00DA1F42"/>
    <w:rsid w:val="00DD39A4"/>
    <w:rsid w:val="00DD463C"/>
    <w:rsid w:val="00DF0684"/>
    <w:rsid w:val="00E35BFA"/>
    <w:rsid w:val="00E62BA3"/>
    <w:rsid w:val="00E76834"/>
    <w:rsid w:val="00E80B5F"/>
    <w:rsid w:val="00E83E0D"/>
    <w:rsid w:val="00E8761E"/>
    <w:rsid w:val="00E87C42"/>
    <w:rsid w:val="00E9288A"/>
    <w:rsid w:val="00E9362E"/>
    <w:rsid w:val="00E93794"/>
    <w:rsid w:val="00EA37BD"/>
    <w:rsid w:val="00EB5602"/>
    <w:rsid w:val="00EC5412"/>
    <w:rsid w:val="00EC7C27"/>
    <w:rsid w:val="00EF079A"/>
    <w:rsid w:val="00EF6A5E"/>
    <w:rsid w:val="00F113BF"/>
    <w:rsid w:val="00F15335"/>
    <w:rsid w:val="00F22480"/>
    <w:rsid w:val="00F24A99"/>
    <w:rsid w:val="00F508BE"/>
    <w:rsid w:val="00F66166"/>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2D11D2"/>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14110</Words>
  <Characters>15379</Characters>
  <Lines>138</Lines>
  <Paragraphs>38</Paragraphs>
  <TotalTime>1031</TotalTime>
  <ScaleCrop>false</ScaleCrop>
  <LinksUpToDate>false</LinksUpToDate>
  <CharactersWithSpaces>15652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贾志国</cp:lastModifiedBy>
  <cp:lastPrinted>2022-04-27T08:54:00Z</cp:lastPrinted>
  <dcterms:modified xsi:type="dcterms:W3CDTF">2023-05-05T00:59:57Z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74EC7E1F10B746DBA88A9EEF9C18074B</vt:lpwstr>
  </property>
</Properties>
</file>