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t xml:space="preserve">   </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鄂尔多斯生态环境职业学院</w:t>
      </w:r>
    </w:p>
    <w:p>
      <w:pPr>
        <w:widowControl/>
        <w:jc w:val="center"/>
        <w:outlineLvl w:val="0"/>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bookmarkStart w:id="0" w:name="_Toc6035"/>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三年制高职人才培养方案</w:t>
      </w:r>
      <w:bookmarkEnd w:id="0"/>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tbl>
      <w:tblPr>
        <w:tblStyle w:val="7"/>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专业</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设施农业与装备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制订人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审核人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专业建设委员会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制定日期</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2022.11.2</w:t>
            </w:r>
          </w:p>
        </w:tc>
      </w:tr>
    </w:tbl>
    <w:p>
      <w:pPr>
        <w:widowControl/>
        <w:jc w:val="left"/>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center"/>
        <w:outlineLvl w:val="0"/>
        <w:rPr>
          <w:rFonts w:hint="eastAsia" w:ascii="黑体" w:hAnsi="黑体" w:eastAsia="黑体" w:cs="黑体"/>
          <w:color w:val="000000" w:themeColor="text1"/>
          <w:kern w:val="0"/>
          <w:sz w:val="32"/>
          <w:szCs w:val="32"/>
          <w:lang w:val="en-US" w:eastAsia="zh-CN"/>
          <w14:textFill>
            <w14:solidFill>
              <w14:schemeClr w14:val="tx1"/>
            </w14:solidFill>
          </w14:textFill>
        </w:rPr>
      </w:pPr>
      <w:bookmarkStart w:id="1" w:name="_Toc18102"/>
      <w:r>
        <w:rPr>
          <w:rFonts w:hint="eastAsia" w:ascii="黑体" w:hAnsi="黑体" w:eastAsia="黑体" w:cs="黑体"/>
          <w:color w:val="000000" w:themeColor="text1"/>
          <w:kern w:val="0"/>
          <w:sz w:val="32"/>
          <w:szCs w:val="32"/>
          <w:lang w:val="en-US" w:eastAsia="zh-CN"/>
          <w14:textFill>
            <w14:solidFill>
              <w14:schemeClr w14:val="tx1"/>
            </w14:solidFill>
          </w14:textFill>
        </w:rPr>
        <w:t>鄂尔多斯生态环境职业学院教务处制</w:t>
      </w:r>
      <w:bookmarkEnd w:id="1"/>
    </w:p>
    <w:p>
      <w:pPr>
        <w:widowControl/>
        <w:jc w:val="center"/>
        <w:rPr>
          <w:rFonts w:hint="default" w:ascii="黑体" w:hAnsi="黑体" w:eastAsia="黑体" w:cs="黑体"/>
          <w:color w:val="000000" w:themeColor="text1"/>
          <w:kern w:val="0"/>
          <w:sz w:val="32"/>
          <w:szCs w:val="32"/>
          <w:lang w:val="en-US" w:eastAsia="zh-CN"/>
          <w14:textFill>
            <w14:solidFill>
              <w14:schemeClr w14:val="tx1"/>
            </w14:solidFill>
          </w14:textFill>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黑体" w:hAnsi="黑体" w:eastAsia="黑体" w:cs="黑体"/>
          <w:color w:val="000000" w:themeColor="text1"/>
          <w:kern w:val="0"/>
          <w:sz w:val="32"/>
          <w:szCs w:val="32"/>
          <w:lang w:val="en-US" w:eastAsia="zh-CN"/>
          <w14:textFill>
            <w14:solidFill>
              <w14:schemeClr w14:val="tx1"/>
            </w14:solidFill>
          </w14:textFill>
        </w:rPr>
        <w:t>二○二二年十月</w:t>
      </w:r>
    </w:p>
    <w:sdt>
      <w:sdtPr>
        <w:rPr>
          <w:rFonts w:ascii="宋体" w:hAnsi="宋体" w:eastAsia="宋体" w:cstheme="minorBidi"/>
          <w:kern w:val="2"/>
          <w:sz w:val="21"/>
          <w:szCs w:val="24"/>
          <w:lang w:val="en-US" w:eastAsia="zh-CN" w:bidi="ar-SA"/>
        </w:rPr>
        <w:id w:val="147469978"/>
        <w15:color w:val="DBDBDB"/>
        <w:docPartObj>
          <w:docPartGallery w:val="Table of Contents"/>
          <w:docPartUnique/>
        </w:docPartObj>
      </w:sdtPr>
      <w:sdtEndPr>
        <w:rPr>
          <w:rFonts w:hint="eastAsia" w:ascii="宋体" w:hAnsi="宋体" w:eastAsia="宋体" w:cstheme="minorBidi"/>
          <w:color w:val="000000" w:themeColor="text1"/>
          <w:kern w:val="2"/>
          <w:sz w:val="21"/>
          <w:szCs w:val="24"/>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目录</w:t>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TOC \o "1-1" \h \u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_Toc25101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eastAsia="zh-CN"/>
            </w:rPr>
            <w:t>一、专业名称(专业代码)</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_Toc25101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3</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_Toc17884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二、入学要求</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_Toc17884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3</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_Toc24178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三、基本修业年限</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_Toc24178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3</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_Toc17743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四、职业面向</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_Toc17743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3</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_Toc23093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五、培养目标</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_Toc23093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4</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hint="eastAsia" w:ascii="Times New Roman" w:hAnsi="Times New Roman" w:eastAsia="楷体_GB2312" w:cs="楷体_GB2312"/>
              <w:kern w:val="2"/>
              <w:sz w:val="21"/>
              <w:szCs w:val="28"/>
              <w:lang w:val="en-US" w:eastAsia="zh-CN" w:bidi="ar-SA"/>
            </w:rPr>
          </w:pP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HYPERLINK \l _Toc1217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（一）培养目标</w:t>
          </w:r>
          <w:r>
            <w:rPr>
              <w:rFonts w:hint="eastAsia" w:ascii="Times New Roman" w:hAnsi="Times New Roman" w:eastAsia="楷体_GB2312" w:cs="楷体_GB2312"/>
              <w:kern w:val="2"/>
              <w:sz w:val="21"/>
              <w:szCs w:val="28"/>
              <w:lang w:val="en-US" w:eastAsia="zh-CN" w:bidi="ar-SA"/>
            </w:rPr>
            <w:tab/>
          </w: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PAGEREF _Toc1217 \h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4</w:t>
          </w:r>
          <w:r>
            <w:rPr>
              <w:rFonts w:hint="eastAsia" w:ascii="Times New Roman" w:hAnsi="Times New Roman" w:eastAsia="楷体_GB2312" w:cs="楷体_GB2312"/>
              <w:kern w:val="2"/>
              <w:sz w:val="21"/>
              <w:szCs w:val="28"/>
              <w:lang w:val="en-US" w:eastAsia="zh-CN" w:bidi="ar-SA"/>
            </w:rPr>
            <w:fldChar w:fldCharType="end"/>
          </w:r>
          <w:r>
            <w:rPr>
              <w:rFonts w:hint="eastAsia" w:ascii="Times New Roman" w:hAnsi="Times New Roman" w:eastAsia="楷体_GB2312" w:cs="楷体_GB2312"/>
              <w:kern w:val="2"/>
              <w:sz w:val="21"/>
              <w:szCs w:val="28"/>
              <w:lang w:val="en-US" w:eastAsia="zh-CN" w:bidi="ar-SA"/>
            </w:rPr>
            <w:fldChar w:fldCharType="end"/>
          </w:r>
        </w:p>
        <w:p>
          <w:pPr>
            <w:pStyle w:val="4"/>
            <w:tabs>
              <w:tab w:val="right" w:leader="dot" w:pos="8845"/>
            </w:tabs>
            <w:rPr>
              <w:rFonts w:hint="eastAsia" w:ascii="Times New Roman" w:hAnsi="Times New Roman" w:eastAsia="楷体_GB2312" w:cs="楷体_GB2312"/>
              <w:kern w:val="2"/>
              <w:sz w:val="21"/>
              <w:szCs w:val="28"/>
              <w:lang w:val="en-US" w:eastAsia="zh-CN" w:bidi="ar-SA"/>
            </w:rPr>
          </w:pP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HYPERLINK \l _Toc26773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（二）培养规格</w:t>
          </w:r>
          <w:r>
            <w:rPr>
              <w:rFonts w:hint="eastAsia" w:ascii="Times New Roman" w:hAnsi="Times New Roman" w:eastAsia="楷体_GB2312" w:cs="楷体_GB2312"/>
              <w:kern w:val="2"/>
              <w:sz w:val="21"/>
              <w:szCs w:val="28"/>
              <w:lang w:val="en-US" w:eastAsia="zh-CN" w:bidi="ar-SA"/>
            </w:rPr>
            <w:tab/>
          </w: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PAGEREF _Toc26773 \h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4</w:t>
          </w:r>
          <w:r>
            <w:rPr>
              <w:rFonts w:hint="eastAsia" w:ascii="Times New Roman" w:hAnsi="Times New Roman" w:eastAsia="楷体_GB2312" w:cs="楷体_GB2312"/>
              <w:kern w:val="2"/>
              <w:sz w:val="21"/>
              <w:szCs w:val="28"/>
              <w:lang w:val="en-US" w:eastAsia="zh-CN" w:bidi="ar-SA"/>
            </w:rPr>
            <w:fldChar w:fldCharType="end"/>
          </w:r>
          <w:r>
            <w:rPr>
              <w:rFonts w:hint="eastAsia" w:ascii="Times New Roman" w:hAnsi="Times New Roman" w:eastAsia="楷体_GB2312" w:cs="楷体_GB2312"/>
              <w:kern w:val="2"/>
              <w:sz w:val="21"/>
              <w:szCs w:val="28"/>
              <w:lang w:val="en-US" w:eastAsia="zh-CN" w:bidi="ar-SA"/>
            </w:rPr>
            <w:fldChar w:fldCharType="end"/>
          </w:r>
        </w:p>
        <w:p>
          <w:pPr>
            <w:pStyle w:val="4"/>
            <w:tabs>
              <w:tab w:val="right" w:leader="dot" w:pos="8845"/>
            </w:tabs>
            <w:rPr>
              <w:rFonts w:hint="eastAsia" w:ascii="Times New Roman" w:hAnsi="Times New Roman" w:eastAsia="楷体_GB2312" w:cs="楷体_GB2312"/>
              <w:kern w:val="2"/>
              <w:sz w:val="21"/>
              <w:szCs w:val="28"/>
              <w:lang w:val="en-US" w:eastAsia="zh-CN" w:bidi="ar-SA"/>
            </w:rPr>
          </w:pPr>
          <w:r>
            <w:rPr>
              <w:rFonts w:hint="eastAsia" w:ascii="Times New Roman" w:hAnsi="Times New Roman" w:eastAsia="楷体_GB2312" w:cs="楷体_GB2312"/>
              <w:kern w:val="2"/>
              <w:sz w:val="21"/>
              <w:szCs w:val="28"/>
              <w:lang w:val="en-US" w:eastAsia="zh-CN" w:bidi="ar-SA"/>
            </w:rPr>
            <w:t>（三）创新创业能力的培养</w:t>
          </w:r>
          <w:r>
            <w:rPr>
              <w:rFonts w:hint="eastAsia" w:ascii="Times New Roman" w:hAnsi="Times New Roman" w:eastAsia="楷体_GB2312" w:cs="楷体_GB2312"/>
              <w:kern w:val="2"/>
              <w:sz w:val="21"/>
              <w:szCs w:val="28"/>
              <w:lang w:val="en-US" w:eastAsia="zh-CN" w:bidi="ar-SA"/>
            </w:rPr>
            <w:tab/>
          </w:r>
          <w:r>
            <w:rPr>
              <w:rFonts w:hint="eastAsia" w:ascii="Times New Roman" w:hAnsi="Times New Roman" w:eastAsia="楷体_GB2312" w:cs="楷体_GB2312"/>
              <w:kern w:val="2"/>
              <w:sz w:val="21"/>
              <w:szCs w:val="28"/>
              <w:lang w:val="en-US" w:eastAsia="zh-CN" w:bidi="ar-SA"/>
            </w:rPr>
            <w:t>6</w:t>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_Toc29991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六、课程设置及要求</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_Toc29991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6</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hint="eastAsia" w:ascii="Times New Roman" w:hAnsi="Times New Roman" w:eastAsia="楷体_GB2312" w:cs="楷体_GB2312"/>
              <w:kern w:val="2"/>
              <w:sz w:val="21"/>
              <w:szCs w:val="28"/>
              <w:lang w:val="en-US" w:eastAsia="zh-CN" w:bidi="ar-SA"/>
            </w:rPr>
          </w:pP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HYPERLINK \l _Toc16372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（一）本专业公共基础课设置</w:t>
          </w:r>
          <w:r>
            <w:rPr>
              <w:rFonts w:hint="eastAsia" w:ascii="Times New Roman" w:hAnsi="Times New Roman" w:eastAsia="楷体_GB2312" w:cs="楷体_GB2312"/>
              <w:kern w:val="2"/>
              <w:sz w:val="21"/>
              <w:szCs w:val="28"/>
              <w:lang w:val="en-US" w:eastAsia="zh-CN" w:bidi="ar-SA"/>
            </w:rPr>
            <w:tab/>
          </w: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PAGEREF _Toc16372 \h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6</w:t>
          </w:r>
          <w:r>
            <w:rPr>
              <w:rFonts w:hint="eastAsia" w:ascii="Times New Roman" w:hAnsi="Times New Roman" w:eastAsia="楷体_GB2312" w:cs="楷体_GB2312"/>
              <w:kern w:val="2"/>
              <w:sz w:val="21"/>
              <w:szCs w:val="28"/>
              <w:lang w:val="en-US" w:eastAsia="zh-CN" w:bidi="ar-SA"/>
            </w:rPr>
            <w:fldChar w:fldCharType="end"/>
          </w:r>
          <w:r>
            <w:rPr>
              <w:rFonts w:hint="eastAsia" w:ascii="Times New Roman" w:hAnsi="Times New Roman" w:eastAsia="楷体_GB2312" w:cs="楷体_GB2312"/>
              <w:kern w:val="2"/>
              <w:sz w:val="21"/>
              <w:szCs w:val="28"/>
              <w:lang w:val="en-US" w:eastAsia="zh-CN" w:bidi="ar-SA"/>
            </w:rPr>
            <w:fldChar w:fldCharType="end"/>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HYPERLINK \l _Toc1006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（二）专业（技能）课设置</w:t>
          </w:r>
          <w:r>
            <w:rPr>
              <w:rFonts w:hint="eastAsia" w:ascii="Times New Roman" w:hAnsi="Times New Roman" w:eastAsia="楷体_GB2312" w:cs="楷体_GB2312"/>
              <w:kern w:val="2"/>
              <w:sz w:val="21"/>
              <w:szCs w:val="28"/>
              <w:lang w:val="en-US" w:eastAsia="zh-CN" w:bidi="ar-SA"/>
            </w:rPr>
            <w:tab/>
          </w:r>
          <w:r>
            <w:rPr>
              <w:rFonts w:hint="eastAsia" w:ascii="Times New Roman" w:hAnsi="Times New Roman" w:eastAsia="楷体_GB2312" w:cs="楷体_GB2312"/>
              <w:kern w:val="2"/>
              <w:sz w:val="21"/>
              <w:szCs w:val="28"/>
              <w:lang w:val="en-US" w:eastAsia="zh-CN" w:bidi="ar-SA"/>
            </w:rPr>
            <w:fldChar w:fldCharType="begin"/>
          </w:r>
          <w:r>
            <w:rPr>
              <w:rFonts w:hint="eastAsia" w:ascii="Times New Roman" w:hAnsi="Times New Roman" w:eastAsia="楷体_GB2312" w:cs="楷体_GB2312"/>
              <w:kern w:val="2"/>
              <w:sz w:val="21"/>
              <w:szCs w:val="28"/>
              <w:lang w:val="en-US" w:eastAsia="zh-CN" w:bidi="ar-SA"/>
            </w:rPr>
            <w:instrText xml:space="preserve"> PAGEREF _Toc1006 \h </w:instrText>
          </w:r>
          <w:r>
            <w:rPr>
              <w:rFonts w:hint="eastAsia" w:ascii="Times New Roman" w:hAnsi="Times New Roman" w:eastAsia="楷体_GB2312" w:cs="楷体_GB2312"/>
              <w:kern w:val="2"/>
              <w:sz w:val="21"/>
              <w:szCs w:val="28"/>
              <w:lang w:val="en-US" w:eastAsia="zh-CN" w:bidi="ar-SA"/>
            </w:rPr>
            <w:fldChar w:fldCharType="separate"/>
          </w:r>
          <w:r>
            <w:rPr>
              <w:rFonts w:hint="eastAsia" w:ascii="Times New Roman" w:hAnsi="Times New Roman" w:eastAsia="楷体_GB2312" w:cs="楷体_GB2312"/>
              <w:kern w:val="2"/>
              <w:sz w:val="21"/>
              <w:szCs w:val="28"/>
              <w:lang w:val="en-US" w:eastAsia="zh-CN" w:bidi="ar-SA"/>
            </w:rPr>
            <w:t>9</w:t>
          </w:r>
          <w:r>
            <w:rPr>
              <w:rFonts w:hint="eastAsia" w:ascii="Times New Roman" w:hAnsi="Times New Roman" w:eastAsia="楷体_GB2312" w:cs="楷体_GB2312"/>
              <w:kern w:val="2"/>
              <w:sz w:val="21"/>
              <w:szCs w:val="28"/>
              <w:lang w:val="en-US" w:eastAsia="zh-CN" w:bidi="ar-SA"/>
            </w:rPr>
            <w:fldChar w:fldCharType="end"/>
          </w:r>
          <w:r>
            <w:rPr>
              <w:rFonts w:hint="eastAsia" w:ascii="Times New Roman" w:hAnsi="Times New Roman" w:eastAsia="楷体_GB2312" w:cs="楷体_GB2312"/>
              <w:kern w:val="2"/>
              <w:sz w:val="21"/>
              <w:szCs w:val="28"/>
              <w:lang w:val="en-US" w:eastAsia="zh-CN" w:bidi="ar-SA"/>
            </w:rPr>
            <w:fldChar w:fldCharType="end"/>
          </w:r>
        </w:p>
        <w:p>
          <w:pPr>
            <w:pStyle w:val="4"/>
            <w:tabs>
              <w:tab w:val="right" w:leader="dot" w:pos="8845"/>
            </w:tabs>
            <w:rPr>
              <w:rFonts w:hint="eastAsia" w:ascii="Times New Roman" w:hAnsi="Times New Roman"/>
              <w:color w:val="000000" w:themeColor="text1"/>
              <w:sz w:val="21"/>
              <w:lang w:eastAsia="zh-CN"/>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_Toc10507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七、教学进程总体安排</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_Toc10507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11</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_Toc18477 </w:instrText>
          </w:r>
          <w:r>
            <w:fldChar w:fldCharType="separate"/>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lang w:val="en-US" w:eastAsia="zh-CN"/>
            </w:rPr>
            <w:t>一</w:t>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rPr>
            <w:t>教育教学时间安排表</w:t>
          </w:r>
          <w:r>
            <w:tab/>
          </w:r>
          <w:r>
            <w:fldChar w:fldCharType="begin"/>
          </w:r>
          <w:r>
            <w:instrText xml:space="preserve"> PAGEREF _Toc18477 \h </w:instrText>
          </w:r>
          <w:r>
            <w:fldChar w:fldCharType="separate"/>
          </w:r>
          <w:r>
            <w:t>11</w:t>
          </w:r>
          <w:r>
            <w:fldChar w:fldCharType="end"/>
          </w:r>
          <w:r>
            <w:rPr>
              <w:color w:val="000000" w:themeColor="text1"/>
              <w14:textFill>
                <w14:solidFill>
                  <w14:schemeClr w14:val="tx1"/>
                </w14:solidFill>
              </w14:textFill>
            </w:rPr>
            <w:fldChar w:fldCharType="end"/>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_Toc20608 </w:instrText>
          </w:r>
          <w:r>
            <w:fldChar w:fldCharType="separate"/>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lang w:val="en-US" w:eastAsia="zh-CN"/>
            </w:rPr>
            <w:t>二</w:t>
          </w:r>
          <w:r>
            <w:rPr>
              <w:rFonts w:hint="eastAsia" w:ascii="楷体_GB2312" w:hAnsi="楷体_GB2312" w:eastAsia="楷体_GB2312" w:cs="楷体_GB2312"/>
              <w:bCs/>
              <w:szCs w:val="30"/>
              <w:lang w:eastAsia="zh-CN"/>
            </w:rPr>
            <w:t>）理论与实践教学学时分配表</w:t>
          </w:r>
          <w:r>
            <w:tab/>
          </w:r>
          <w:r>
            <w:fldChar w:fldCharType="begin"/>
          </w:r>
          <w:r>
            <w:instrText xml:space="preserve"> PAGEREF _Toc20608 \h </w:instrText>
          </w:r>
          <w:r>
            <w:fldChar w:fldCharType="separate"/>
          </w:r>
          <w:r>
            <w:t>11</w:t>
          </w:r>
          <w:r>
            <w:fldChar w:fldCharType="end"/>
          </w:r>
          <w:r>
            <w:rPr>
              <w:color w:val="000000" w:themeColor="text1"/>
              <w14:textFill>
                <w14:solidFill>
                  <w14:schemeClr w14:val="tx1"/>
                </w14:solidFill>
              </w14:textFill>
            </w:rPr>
            <w:fldChar w:fldCharType="end"/>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_Toc22338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三</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教学进度安排计划表----必修课程设置及学分、学时、进程表</w:t>
          </w:r>
          <w:r>
            <w:tab/>
          </w:r>
          <w:r>
            <w:fldChar w:fldCharType="begin"/>
          </w:r>
          <w:r>
            <w:instrText xml:space="preserve"> PAGEREF _Toc22338 \h </w:instrText>
          </w:r>
          <w:r>
            <w:fldChar w:fldCharType="separate"/>
          </w:r>
          <w:r>
            <w:t>13</w:t>
          </w:r>
          <w:r>
            <w:fldChar w:fldCharType="end"/>
          </w:r>
          <w:r>
            <w:rPr>
              <w:color w:val="000000" w:themeColor="text1"/>
              <w14:textFill>
                <w14:solidFill>
                  <w14:schemeClr w14:val="tx1"/>
                </w14:solidFill>
              </w14:textFill>
            </w:rPr>
            <w:fldChar w:fldCharType="end"/>
          </w:r>
        </w:p>
        <w:p>
          <w:pPr>
            <w:pStyle w:val="4"/>
            <w:tabs>
              <w:tab w:val="right" w:leader="dot" w:pos="8845"/>
            </w:tabs>
            <w:rPr>
              <w:rFonts w:hint="eastAsia" w:ascii="Times New Roman" w:hAnsi="Times New Roman"/>
              <w:color w:val="000000" w:themeColor="text1"/>
              <w:sz w:val="21"/>
              <w:lang w:eastAsia="zh-CN"/>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_Toc3078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八、实施与保障</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_Toc3078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22</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_Toc25638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师资队伍</w:t>
          </w:r>
          <w:r>
            <w:tab/>
          </w:r>
          <w:r>
            <w:fldChar w:fldCharType="begin"/>
          </w:r>
          <w:r>
            <w:instrText xml:space="preserve"> PAGEREF _Toc25638 \h </w:instrText>
          </w:r>
          <w:r>
            <w:fldChar w:fldCharType="separate"/>
          </w:r>
          <w:r>
            <w:t>22</w:t>
          </w:r>
          <w:r>
            <w:fldChar w:fldCharType="end"/>
          </w:r>
          <w:r>
            <w:rPr>
              <w:color w:val="000000" w:themeColor="text1"/>
              <w14:textFill>
                <w14:solidFill>
                  <w14:schemeClr w14:val="tx1"/>
                </w14:solidFill>
              </w14:textFill>
            </w:rPr>
            <w:fldChar w:fldCharType="end"/>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_Toc31426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二</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教学设施</w:t>
          </w:r>
          <w:r>
            <w:tab/>
          </w:r>
          <w:r>
            <w:fldChar w:fldCharType="begin"/>
          </w:r>
          <w:r>
            <w:instrText xml:space="preserve"> PAGEREF _Toc31426 \h </w:instrText>
          </w:r>
          <w:r>
            <w:fldChar w:fldCharType="separate"/>
          </w:r>
          <w:r>
            <w:t>22</w:t>
          </w:r>
          <w:r>
            <w:fldChar w:fldCharType="end"/>
          </w:r>
          <w:r>
            <w:rPr>
              <w:color w:val="000000" w:themeColor="text1"/>
              <w14:textFill>
                <w14:solidFill>
                  <w14:schemeClr w14:val="tx1"/>
                </w14:solidFill>
              </w14:textFill>
            </w:rPr>
            <w:fldChar w:fldCharType="end"/>
          </w:r>
        </w:p>
        <w:p>
          <w:pPr>
            <w:pStyle w:val="5"/>
            <w:tabs>
              <w:tab w:val="right" w:leader="dot" w:pos="8845"/>
            </w:tabs>
            <w:ind w:left="0" w:leftChars="0" w:firstLine="0" w:firstLineChars="0"/>
            <w:rPr>
              <w:rFonts w:hint="eastAsia" w:eastAsia="宋体"/>
              <w:lang w:val="en-US" w:eastAsia="zh-CN"/>
            </w:rPr>
          </w:pPr>
          <w:r>
            <w:rPr>
              <w:color w:val="000000" w:themeColor="text1"/>
              <w14:textFill>
                <w14:solidFill>
                  <w14:schemeClr w14:val="tx1"/>
                </w14:solidFill>
              </w14:textFill>
            </w:rPr>
            <w:fldChar w:fldCharType="begin"/>
          </w:r>
          <w:r>
            <w:instrText xml:space="preserve"> HYPERLINK \l _Toc4916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三</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教学资源</w:t>
          </w:r>
          <w:r>
            <w:tab/>
          </w:r>
          <w:r>
            <w:rPr>
              <w:rFonts w:hint="eastAsia"/>
              <w:lang w:val="en-US" w:eastAsia="zh-CN"/>
            </w:rPr>
            <w:t>2</w:t>
          </w:r>
          <w:r>
            <w:rPr>
              <w:color w:val="000000" w:themeColor="text1"/>
              <w14:textFill>
                <w14:solidFill>
                  <w14:schemeClr w14:val="tx1"/>
                </w14:solidFill>
              </w14:textFill>
            </w:rPr>
            <w:fldChar w:fldCharType="end"/>
          </w:r>
          <w:r>
            <w:rPr>
              <w:rFonts w:hint="eastAsia"/>
              <w:color w:val="000000" w:themeColor="text1"/>
              <w:lang w:val="en-US" w:eastAsia="zh-CN"/>
              <w14:textFill>
                <w14:solidFill>
                  <w14:schemeClr w14:val="tx1"/>
                </w14:solidFill>
              </w14:textFill>
            </w:rPr>
            <w:t>3</w:t>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_Toc30455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四</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教学方法</w:t>
          </w:r>
          <w:r>
            <w:tab/>
          </w:r>
          <w:r>
            <w:fldChar w:fldCharType="begin"/>
          </w:r>
          <w:r>
            <w:instrText xml:space="preserve"> PAGEREF _Toc30455 \h </w:instrText>
          </w:r>
          <w:r>
            <w:fldChar w:fldCharType="separate"/>
          </w:r>
          <w:r>
            <w:t>23</w:t>
          </w:r>
          <w:r>
            <w:fldChar w:fldCharType="end"/>
          </w:r>
          <w:r>
            <w:rPr>
              <w:color w:val="000000" w:themeColor="text1"/>
              <w14:textFill>
                <w14:solidFill>
                  <w14:schemeClr w14:val="tx1"/>
                </w14:solidFill>
              </w14:textFill>
            </w:rPr>
            <w:fldChar w:fldCharType="end"/>
          </w:r>
        </w:p>
        <w:p>
          <w:pPr>
            <w:pStyle w:val="5"/>
            <w:tabs>
              <w:tab w:val="right" w:leader="dot" w:pos="8845"/>
            </w:tabs>
            <w:ind w:left="0" w:leftChars="0" w:firstLine="0" w:firstLineChars="0"/>
          </w:pPr>
          <w:r>
            <w:rPr>
              <w:color w:val="000000" w:themeColor="text1"/>
              <w14:textFill>
                <w14:solidFill>
                  <w14:schemeClr w14:val="tx1"/>
                </w14:solidFill>
              </w14:textFill>
            </w:rPr>
            <w:fldChar w:fldCharType="begin"/>
          </w:r>
          <w:r>
            <w:instrText xml:space="preserve"> HYPERLINK \l _Toc16020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五</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学习评价</w:t>
          </w:r>
          <w:r>
            <w:tab/>
          </w:r>
          <w:r>
            <w:fldChar w:fldCharType="begin"/>
          </w:r>
          <w:r>
            <w:instrText xml:space="preserve"> PAGEREF _Toc16020 \h </w:instrText>
          </w:r>
          <w:r>
            <w:fldChar w:fldCharType="separate"/>
          </w:r>
          <w:r>
            <w:t>24</w:t>
          </w:r>
          <w:r>
            <w:fldChar w:fldCharType="end"/>
          </w:r>
          <w:r>
            <w:rPr>
              <w:color w:val="000000" w:themeColor="text1"/>
              <w14:textFill>
                <w14:solidFill>
                  <w14:schemeClr w14:val="tx1"/>
                </w14:solidFill>
              </w14:textFill>
            </w:rPr>
            <w:fldChar w:fldCharType="end"/>
          </w:r>
        </w:p>
        <w:p>
          <w:pPr>
            <w:pStyle w:val="4"/>
            <w:tabs>
              <w:tab w:val="right" w:leader="dot" w:pos="8845"/>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instrText xml:space="preserve"> HYPERLINK \l _Toc16020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六</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质量管理</w:t>
          </w:r>
          <w:r>
            <w:tab/>
          </w:r>
          <w:r>
            <w:fldChar w:fldCharType="begin"/>
          </w:r>
          <w:r>
            <w:instrText xml:space="preserve"> PAGEREF _Toc16020 \h </w:instrText>
          </w:r>
          <w:r>
            <w:fldChar w:fldCharType="separate"/>
          </w:r>
          <w:r>
            <w:t>24</w:t>
          </w:r>
          <w:r>
            <w:fldChar w:fldCharType="end"/>
          </w:r>
          <w:r>
            <w:rPr>
              <w:color w:val="000000" w:themeColor="text1"/>
              <w14:textFill>
                <w14:solidFill>
                  <w14:schemeClr w14:val="tx1"/>
                </w14:solidFill>
              </w14:textFill>
            </w:rPr>
            <w:fldChar w:fldCharType="end"/>
          </w:r>
        </w:p>
        <w:p>
          <w:pPr>
            <w:pStyle w:val="4"/>
            <w:tabs>
              <w:tab w:val="right" w:leader="dot" w:pos="8845"/>
            </w:tabs>
            <w:rPr>
              <w:rFonts w:ascii="Times New Roman" w:hAnsi="Times New Roman"/>
              <w:color w:val="000000" w:themeColor="text1"/>
              <w:sz w:val="21"/>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begin"/>
          </w:r>
          <w:r>
            <w:rPr>
              <w:rFonts w:hint="eastAsia" w:ascii="Times New Roman" w:hAnsi="Times New Roman"/>
              <w:color w:val="000000" w:themeColor="text1"/>
              <w:sz w:val="21"/>
              <w:lang w:eastAsia="zh-CN"/>
              <w14:textFill>
                <w14:solidFill>
                  <w14:schemeClr w14:val="tx1"/>
                </w14:solidFill>
              </w14:textFill>
            </w:rPr>
            <w:instrText xml:space="preserve"> HYPERLINK \l _Toc15314 </w:instrText>
          </w:r>
          <w:r>
            <w:rPr>
              <w:rFonts w:hint="eastAsia" w:ascii="Times New Roman" w:hAnsi="Times New Roman"/>
              <w:color w:val="000000" w:themeColor="text1"/>
              <w:sz w:val="21"/>
              <w:lang w:eastAsia="zh-CN"/>
              <w14:textFill>
                <w14:solidFill>
                  <w14:schemeClr w14:val="tx1"/>
                </w14:solidFill>
              </w14:textFill>
            </w:rPr>
            <w:fldChar w:fldCharType="separate"/>
          </w:r>
          <w:r>
            <w:rPr>
              <w:rFonts w:hint="eastAsia" w:ascii="Times New Roman" w:hAnsi="Times New Roman" w:eastAsia="黑体" w:cs="黑体"/>
              <w:bCs/>
              <w:sz w:val="21"/>
              <w:szCs w:val="28"/>
              <w:lang w:val="en-US" w:eastAsia="zh-CN"/>
            </w:rPr>
            <w:t>九、毕业生要求</w:t>
          </w:r>
          <w:r>
            <w:rPr>
              <w:rFonts w:ascii="Times New Roman" w:hAnsi="Times New Roman"/>
              <w:color w:val="000000" w:themeColor="text1"/>
              <w:sz w:val="21"/>
              <w14:textFill>
                <w14:solidFill>
                  <w14:schemeClr w14:val="tx1"/>
                </w14:solidFill>
              </w14:textFill>
            </w:rPr>
            <w:tab/>
          </w:r>
          <w:r>
            <w:rPr>
              <w:rFonts w:ascii="Times New Roman" w:hAnsi="Times New Roman"/>
              <w:color w:val="000000" w:themeColor="text1"/>
              <w:sz w:val="21"/>
              <w14:textFill>
                <w14:solidFill>
                  <w14:schemeClr w14:val="tx1"/>
                </w14:solidFill>
              </w14:textFill>
            </w:rPr>
            <w:fldChar w:fldCharType="begin"/>
          </w:r>
          <w:r>
            <w:rPr>
              <w:rFonts w:ascii="Times New Roman" w:hAnsi="Times New Roman"/>
              <w:color w:val="000000" w:themeColor="text1"/>
              <w:sz w:val="21"/>
              <w14:textFill>
                <w14:solidFill>
                  <w14:schemeClr w14:val="tx1"/>
                </w14:solidFill>
              </w14:textFill>
            </w:rPr>
            <w:instrText xml:space="preserve"> PAGEREF _Toc15314 \h </w:instrText>
          </w:r>
          <w:r>
            <w:rPr>
              <w:rFonts w:ascii="Times New Roman" w:hAnsi="Times New Roman"/>
              <w:color w:val="000000" w:themeColor="text1"/>
              <w:sz w:val="21"/>
              <w14:textFill>
                <w14:solidFill>
                  <w14:schemeClr w14:val="tx1"/>
                </w14:solidFill>
              </w14:textFill>
            </w:rPr>
            <w:fldChar w:fldCharType="separate"/>
          </w:r>
          <w:r>
            <w:rPr>
              <w:rFonts w:ascii="Times New Roman" w:hAnsi="Times New Roman"/>
              <w:color w:val="000000" w:themeColor="text1"/>
              <w:sz w:val="21"/>
              <w14:textFill>
                <w14:solidFill>
                  <w14:schemeClr w14:val="tx1"/>
                </w14:solidFill>
              </w14:textFill>
            </w:rPr>
            <w:t>26</w:t>
          </w:r>
          <w:r>
            <w:rPr>
              <w:rFonts w:ascii="Times New Roman" w:hAnsi="Times New Roman"/>
              <w:color w:val="000000" w:themeColor="text1"/>
              <w:sz w:val="21"/>
              <w14:textFill>
                <w14:solidFill>
                  <w14:schemeClr w14:val="tx1"/>
                </w14:solidFill>
              </w14:textFill>
            </w:rPr>
            <w:fldChar w:fldCharType="end"/>
          </w:r>
          <w:r>
            <w:rPr>
              <w:rFonts w:hint="eastAsia" w:ascii="Times New Roman" w:hAnsi="Times New Roman"/>
              <w:color w:val="000000" w:themeColor="text1"/>
              <w:sz w:val="21"/>
              <w:lang w:eastAsia="zh-CN"/>
              <w14:textFill>
                <w14:solidFill>
                  <w14:schemeClr w14:val="tx1"/>
                </w14:solidFill>
              </w14:textFill>
            </w:rPr>
            <w:fldChar w:fldCharType="end"/>
          </w:r>
        </w:p>
        <w:p>
          <w:pPr>
            <w:pStyle w:val="4"/>
            <w:tabs>
              <w:tab w:val="right" w:leader="dot" w:pos="8845"/>
            </w:tabs>
            <w:rPr>
              <w:rFonts w:hint="eastAsia"/>
              <w:color w:val="000000" w:themeColor="text1"/>
              <w:lang w:eastAsia="zh-CN"/>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fldChar w:fldCharType="end"/>
          </w:r>
        </w:p>
      </w:sdtContent>
    </w:sdt>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9"/>
        <w:rPr>
          <w:rFonts w:hint="eastAsia" w:ascii="黑体" w:hAnsi="黑体" w:eastAsia="黑体" w:cs="黑体"/>
          <w:b w:val="0"/>
          <w:bCs/>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jc w:val="left"/>
        <w:textAlignment w:val="auto"/>
        <w:outlineLvl w:val="0"/>
        <w:rPr>
          <w:rFonts w:hint="eastAsia" w:ascii="黑体" w:hAnsi="黑体" w:eastAsia="黑体" w:cs="黑体"/>
          <w:b w:val="0"/>
          <w:bCs/>
          <w:color w:val="000000" w:themeColor="text1"/>
          <w:sz w:val="28"/>
          <w:szCs w:val="28"/>
          <w:lang w:eastAsia="zh-CN"/>
          <w14:textFill>
            <w14:solidFill>
              <w14:schemeClr w14:val="tx1"/>
            </w14:solidFill>
          </w14:textFill>
        </w:rPr>
      </w:pPr>
      <w:bookmarkStart w:id="2" w:name="_Toc25101"/>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eastAsia="zh-CN"/>
          <w14:textFill>
            <w14:solidFill>
              <w14:schemeClr w14:val="tx1"/>
            </w14:solidFill>
          </w14:textFill>
        </w:rPr>
      </w:pPr>
      <w:r>
        <w:rPr>
          <w:rFonts w:hint="eastAsia" w:ascii="黑体" w:hAnsi="黑体" w:eastAsia="黑体" w:cs="黑体"/>
          <w:b w:val="0"/>
          <w:bCs/>
          <w:color w:val="000000" w:themeColor="text1"/>
          <w:sz w:val="28"/>
          <w:szCs w:val="28"/>
          <w:lang w:eastAsia="zh-CN"/>
          <w14:textFill>
            <w14:solidFill>
              <w14:schemeClr w14:val="tx1"/>
            </w14:solidFill>
          </w14:textFill>
        </w:rPr>
        <w:t>一、专业名称(专业代码)</w:t>
      </w:r>
      <w:bookmarkEnd w:id="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bookmarkStart w:id="3" w:name="_Toc16951"/>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专业名称：设施农业与装备</w:t>
      </w:r>
      <w:bookmarkEnd w:id="3"/>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专业代码：410112</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4" w:name="_Toc17884"/>
      <w:r>
        <w:rPr>
          <w:rFonts w:hint="eastAsia" w:ascii="黑体" w:hAnsi="黑体" w:eastAsia="黑体" w:cs="黑体"/>
          <w:b w:val="0"/>
          <w:bCs/>
          <w:color w:val="000000" w:themeColor="text1"/>
          <w:sz w:val="28"/>
          <w:szCs w:val="28"/>
          <w:lang w:val="en-US" w:eastAsia="zh-CN"/>
          <w14:textFill>
            <w14:solidFill>
              <w14:schemeClr w14:val="tx1"/>
            </w14:solidFill>
          </w14:textFill>
        </w:rPr>
        <w:t>二、入学要求</w:t>
      </w:r>
      <w:bookmarkEnd w:id="4"/>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高中阶段教育毕业生/具有同等学力者。</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5" w:name="_Toc24178"/>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5"/>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bookmarkStart w:id="6" w:name="_Toc14927"/>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三年</w:t>
      </w:r>
      <w:bookmarkEnd w:id="6"/>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 w:name="_Toc17743"/>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7"/>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1"/>
        <w:rPr>
          <w:rFonts w:hint="eastAsia" w:ascii="楷体_GB2312" w:hAnsi="楷体_GB2312" w:eastAsia="楷体_GB2312" w:cs="楷体_GB2312"/>
          <w:color w:val="000000" w:themeColor="text1"/>
          <w:sz w:val="28"/>
          <w:szCs w:val="28"/>
          <w:lang w:eastAsia="zh-CN"/>
          <w14:textFill>
            <w14:solidFill>
              <w14:schemeClr w14:val="tx1"/>
            </w14:solidFill>
          </w14:textFill>
        </w:rPr>
      </w:pP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（一）本专业职业面向</w:t>
      </w:r>
    </w:p>
    <w:tbl>
      <w:tblPr>
        <w:tblStyle w:val="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 w:type="dxa"/>
          <w:bottom w:w="0" w:type="dxa"/>
          <w:right w:w="10" w:type="dxa"/>
        </w:tblCellMar>
      </w:tblPr>
      <w:tblGrid>
        <w:gridCol w:w="1287"/>
        <w:gridCol w:w="1099"/>
        <w:gridCol w:w="1098"/>
        <w:gridCol w:w="2622"/>
        <w:gridCol w:w="22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1160" w:hRule="atLeast"/>
        </w:trPr>
        <w:tc>
          <w:tcPr>
            <w:tcW w:w="12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所属专业大类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（代码）</w:t>
            </w:r>
          </w:p>
        </w:tc>
        <w:tc>
          <w:tcPr>
            <w:tcW w:w="10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所属专业类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（代码）</w:t>
            </w:r>
          </w:p>
        </w:tc>
        <w:tc>
          <w:tcPr>
            <w:tcW w:w="109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对应行业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（代码）</w:t>
            </w:r>
          </w:p>
        </w:tc>
        <w:tc>
          <w:tcPr>
            <w:tcW w:w="262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主要职业类别</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（代码）</w:t>
            </w:r>
          </w:p>
        </w:tc>
        <w:tc>
          <w:tcPr>
            <w:tcW w:w="22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主要岗位群或</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技术领域举例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2080" w:hRule="atLeast"/>
        </w:trPr>
        <w:tc>
          <w:tcPr>
            <w:tcW w:w="1287"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农林牧渔大类(51)</w:t>
            </w:r>
          </w:p>
        </w:tc>
        <w:tc>
          <w:tcPr>
            <w:tcW w:w="109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农业类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(5101)</w:t>
            </w:r>
          </w:p>
        </w:tc>
        <w:tc>
          <w:tcPr>
            <w:tcW w:w="1098"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农业专业及辅助性活动（051）</w:t>
            </w:r>
          </w:p>
        </w:tc>
        <w:tc>
          <w:tcPr>
            <w:tcW w:w="2622"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农业生产服务人员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(5-05-01);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农机化服务人员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(5-05-05)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default"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信息和通讯技术人员（2-02-10）</w:t>
            </w:r>
          </w:p>
        </w:tc>
        <w:tc>
          <w:tcPr>
            <w:tcW w:w="2220"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设施农业生产；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sz w:val="21"/>
                <w:szCs w:val="21"/>
                <w:vertAlign w:val="baseline"/>
                <w:lang w:val="en-US" w:eastAsia="zh-CN"/>
              </w:rPr>
            </w:pPr>
            <w:r>
              <w:rPr>
                <w:rFonts w:hint="eastAsia" w:ascii="宋体" w:hAnsi="宋体" w:eastAsia="宋体" w:cs="宋体"/>
                <w:color w:val="000000"/>
                <w:sz w:val="21"/>
                <w:szCs w:val="21"/>
                <w:vertAlign w:val="baseline"/>
                <w:lang w:val="en-US" w:eastAsia="zh-CN"/>
              </w:rPr>
              <w:t>设施工程技术与装备应用；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default" w:ascii="Times New Roman" w:hAnsi="Times New Roman" w:eastAsia="仿宋" w:cs="仿宋"/>
                <w:sz w:val="30"/>
                <w:lang w:val="en-US" w:eastAsia="zh-CN"/>
              </w:rPr>
            </w:pPr>
            <w:r>
              <w:rPr>
                <w:rFonts w:hint="eastAsia" w:ascii="宋体" w:hAnsi="宋体" w:eastAsia="宋体" w:cs="宋体"/>
                <w:color w:val="000000"/>
                <w:sz w:val="21"/>
                <w:szCs w:val="21"/>
                <w:vertAlign w:val="baseline"/>
                <w:lang w:val="en-US" w:eastAsia="zh-CN"/>
              </w:rPr>
              <w:t>农业物联网系统设计与实施</w:t>
            </w:r>
          </w:p>
        </w:tc>
      </w:tr>
    </w:tbl>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eastAsia" w:ascii="楷体_GB2312" w:hAnsi="楷体_GB2312" w:eastAsia="楷体_GB2312" w:cs="楷体_GB2312"/>
          <w:color w:val="000000" w:themeColor="text1"/>
          <w:sz w:val="28"/>
          <w:szCs w:val="28"/>
          <w:lang w:eastAsia="zh-CN"/>
          <w14:textFill>
            <w14:solidFill>
              <w14:schemeClr w14:val="tx1"/>
            </w14:solidFill>
          </w14:textFill>
        </w:rPr>
      </w:pPr>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color w:val="000000" w:themeColor="text1"/>
          <w:sz w:val="28"/>
          <w:szCs w:val="28"/>
          <w:lang w:eastAsia="zh-CN"/>
          <w14:textFill>
            <w14:solidFill>
              <w14:schemeClr w14:val="tx1"/>
            </w14:solidFill>
          </w14:textFill>
        </w:rPr>
        <w:t>）职业等级证书、行业企业标准和证书</w:t>
      </w:r>
    </w:p>
    <w:p>
      <w:pPr>
        <w:pStyle w:val="15"/>
        <w:keepNext w:val="0"/>
        <w:keepLines w:val="0"/>
        <w:pageBreakBefore w:val="0"/>
        <w:widowControl w:val="0"/>
        <w:kinsoku/>
        <w:overflowPunct/>
        <w:topLinePunct w:val="0"/>
        <w:autoSpaceDE/>
        <w:autoSpaceDN/>
        <w:bidi w:val="0"/>
        <w:adjustRightInd/>
        <w:spacing w:line="560" w:lineRule="exact"/>
        <w:ind w:firstLine="560" w:firstLineChars="200"/>
        <w:textAlignment w:val="auto"/>
        <w:outlineLvl w:val="9"/>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pPr>
      <w:bookmarkStart w:id="8" w:name="_Toc9012"/>
      <w:bookmarkStart w:id="9" w:name="_Toc93"/>
      <w:r>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t>1.通用证书</w:t>
      </w:r>
      <w:bookmarkEnd w:id="8"/>
      <w:bookmarkEnd w:id="9"/>
    </w:p>
    <w:tbl>
      <w:tblPr>
        <w:tblStyle w:val="6"/>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考核项目</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考核发证部门</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等级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全国英语等级考试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普通话</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国家语言文字委员会</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三甲</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4"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全国计算机等级考试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二</w:t>
            </w:r>
            <w:r>
              <w:rPr>
                <w:rFonts w:hint="eastAsia" w:asciiTheme="minorEastAsia" w:hAnsiTheme="minorEastAsia" w:eastAsiaTheme="minorEastAsia" w:cstheme="minorEastAsia"/>
                <w:color w:val="000000" w:themeColor="text1"/>
                <w:sz w:val="21"/>
                <w:szCs w:val="21"/>
                <w14:textFill>
                  <w14:solidFill>
                    <w14:schemeClr w14:val="tx1"/>
                  </w14:solidFill>
                </w14:textFill>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pPr>
        <w:pStyle w:val="15"/>
        <w:ind w:firstLine="560" w:firstLineChars="200"/>
        <w:outlineLvl w:val="9"/>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pPr>
      <w:bookmarkStart w:id="10" w:name="_Toc8164"/>
      <w:bookmarkStart w:id="11" w:name="_Toc32008"/>
      <w:r>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t>2.本专业职业资格证书</w:t>
      </w:r>
      <w:bookmarkEnd w:id="10"/>
      <w:bookmarkEnd w:id="11"/>
      <w:r>
        <w:rPr>
          <w:rFonts w:hint="eastAsia" w:ascii="仿宋_GB2312" w:hAnsi="仿宋_GB2312" w:eastAsia="仿宋_GB2312" w:cs="仿宋_GB2312"/>
          <w:b w:val="0"/>
          <w:color w:val="FF0000"/>
          <w:kern w:val="2"/>
          <w:sz w:val="28"/>
          <w:szCs w:val="28"/>
          <w:lang w:val="en-US" w:eastAsia="zh-CN" w:bidi="ar-SA"/>
        </w:rPr>
        <w:t>（包括1+X证书）</w:t>
      </w:r>
    </w:p>
    <w:tbl>
      <w:tblPr>
        <w:tblStyle w:val="6"/>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105" w:leftChars="50"/>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农艺工</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种子检验员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1+X粮农证</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社会组织评价机构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p>
        </w:tc>
      </w:tr>
    </w:tbl>
    <w:p>
      <w:pPr>
        <w:snapToGrid w:val="0"/>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（说明：学生毕业应至少获得一种通用证书和</w:t>
      </w:r>
      <w:r>
        <w:rPr>
          <w:rFonts w:hint="eastAsia" w:ascii="仿宋_GB2312" w:hAnsi="仿宋_GB2312" w:eastAsia="仿宋_GB2312" w:cs="仿宋_GB2312"/>
          <w:color w:val="000000" w:themeColor="text1"/>
          <w:sz w:val="24"/>
          <w:szCs w:val="24"/>
          <w:lang w:eastAsia="zh-CN"/>
          <w14:textFill>
            <w14:solidFill>
              <w14:schemeClr w14:val="tx1"/>
            </w14:solidFill>
          </w14:textFill>
        </w:rPr>
        <w:t>一种</w:t>
      </w:r>
      <w:r>
        <w:rPr>
          <w:rFonts w:hint="eastAsia" w:ascii="仿宋_GB2312" w:hAnsi="仿宋_GB2312" w:eastAsia="仿宋_GB2312" w:cs="仿宋_GB2312"/>
          <w:color w:val="000000" w:themeColor="text1"/>
          <w:sz w:val="24"/>
          <w:szCs w:val="24"/>
          <w14:textFill>
            <w14:solidFill>
              <w14:schemeClr w14:val="tx1"/>
            </w14:solidFill>
          </w14:textFill>
        </w:rPr>
        <w:t>专业职业资格证书。）</w: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default" w:ascii="楷体_GB2312" w:hAnsi="楷体_GB2312" w:eastAsia="楷体_GB2312" w:cs="楷体_GB2312"/>
          <w:color w:val="000000" w:themeColor="text1"/>
          <w:sz w:val="28"/>
          <w:szCs w:val="28"/>
          <w:lang w:val="en-US" w:eastAsia="zh-CN"/>
          <w14:textFill>
            <w14:solidFill>
              <w14:schemeClr w14:val="tx1"/>
            </w14:solidFill>
          </w14:textFill>
        </w:rPr>
      </w:pPr>
      <w:bookmarkStart w:id="12" w:name="_Toc24781"/>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color w:val="000000" w:themeColor="text1"/>
          <w:sz w:val="28"/>
          <w:szCs w:val="28"/>
          <w:lang w:eastAsia="zh-CN"/>
          <w14:textFill>
            <w14:solidFill>
              <w14:schemeClr w14:val="tx1"/>
            </w14:solidFill>
          </w14:textFill>
        </w:rPr>
        <w:t>）职业</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生涯发展路径</w:t>
      </w:r>
      <w:bookmarkEnd w:id="12"/>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9"/>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210185</wp:posOffset>
                </wp:positionH>
                <wp:positionV relativeFrom="paragraph">
                  <wp:posOffset>161290</wp:posOffset>
                </wp:positionV>
                <wp:extent cx="1414780" cy="1224915"/>
                <wp:effectExtent l="6350" t="6350" r="7620" b="6985"/>
                <wp:wrapNone/>
                <wp:docPr id="14" name="矩形 14"/>
                <wp:cNvGraphicFramePr/>
                <a:graphic xmlns:a="http://schemas.openxmlformats.org/drawingml/2006/main">
                  <a:graphicData uri="http://schemas.microsoft.com/office/word/2010/wordprocessingShape">
                    <wps:wsp>
                      <wps:cNvSpPr/>
                      <wps:spPr>
                        <a:xfrm>
                          <a:off x="1350645" y="8016240"/>
                          <a:ext cx="1414780"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（农业物联网设备安装、调试）</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（农业机械营销员）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55pt;margin-top:12.7pt;height:96.45pt;width:111.4pt;z-index:251660288;v-text-anchor:middle;mso-width-relative:page;mso-height-relative:page;" filled="f" stroked="t" coordsize="21600,21600" o:gfxdata="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eQxmA2AAAAAkBAAAPAAAAAAAAAAEAIAAAACIA&#10;AABkcnMvZG93bnJldi54bWxQSwECFAAUAAAACACHTuJA8Mn2D3sCAADlBAAADgAAAAAAAAABACAA&#10;AAAnAQAAZHJzL2Uyb0RvYy54bWxQSwUGAAAAAAYABgBZAQAAFAY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（农业物联网设备安装、调试）</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（农业机械营销员）</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4375785</wp:posOffset>
                </wp:positionH>
                <wp:positionV relativeFrom="paragraph">
                  <wp:posOffset>161290</wp:posOffset>
                </wp:positionV>
                <wp:extent cx="1462405" cy="1224915"/>
                <wp:effectExtent l="6350" t="6350" r="17145" b="6985"/>
                <wp:wrapNone/>
                <wp:docPr id="16" name="矩形 16"/>
                <wp:cNvGraphicFramePr/>
                <a:graphic xmlns:a="http://schemas.openxmlformats.org/drawingml/2006/main">
                  <a:graphicData uri="http://schemas.microsoft.com/office/word/2010/wordprocessingShape">
                    <wps:wsp>
                      <wps:cNvSpPr/>
                      <wps:spPr>
                        <a:xfrm>
                          <a:off x="0" y="0"/>
                          <a:ext cx="146240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（农业智能化开发）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（科技特派员）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15.15pt;z-index:251662336;v-text-anchor:middle;mso-width-relative:page;mso-height-relative:page;" filled="f" stroked="t" coordsize="21600,21600" o:gfxdata="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bXkHp9kAAAAKAQAADwAAAAAAAAABACAAAAAiAAAAZHJzL2Rvd25y&#10;ZXYueG1sUEsBAhQAFAAAAAgAh07iQGI9JQNvAgAA2QQAAA4AAAAAAAAAAQAgAAAAKAEAAGRycy9l&#10;Mm9Eb2MueG1sUEsFBgAAAAAGAAYAWQEAAAkGA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（农业智能化开发）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（科技特派员）</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（软件开发）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（生产管理者）</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GmCh+2QAAAAoBAAAPAAAAAAAAAAEAIAAAACIAAABkcnMvZG93bnJl&#10;di54bWxQSwECFAAUAAAACACHTuJAq7RDBW4CAADZBAAADgAAAAAAAAABACAAAAAoAQAAZHJzL2Uy&#10;b0RvYy54bWxQSwUGAAAAAAYABgBZAQAACAY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（软件开发）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（生产管理者）</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p>
                  </w:txbxContent>
                </v:textbox>
              </v:rect>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9"/>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3651885</wp:posOffset>
                </wp:positionH>
                <wp:positionV relativeFrom="paragraph">
                  <wp:posOffset>314325</wp:posOffset>
                </wp:positionV>
                <wp:extent cx="700405" cy="194945"/>
                <wp:effectExtent l="11430" t="4445" r="12065"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5408;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AfruetkAAAAJAQAADwAAAAAAAAABACAAAAAiAAAAZHJzL2Rvd25y&#10;ZXYueG1sUEsBAhQAFAAAAAgAh07iQGSsZe5vAgAA0QQAAA4AAAAAAAAAAQAgAAAAKAEAAGRycy9l&#10;Mm9Eb2MueG1sUEsFBgAAAAAGAAYAWQEAAAkGAAAAAA==&#10;" adj="18595">
                <v:fill on="f" focussize="0,0"/>
                <v:stroke color="#000000 [3213]" miterlimit="8" joinstyle="miter"/>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1642745</wp:posOffset>
                </wp:positionH>
                <wp:positionV relativeFrom="paragraph">
                  <wp:posOffset>314325</wp:posOffset>
                </wp:positionV>
                <wp:extent cx="700405" cy="222250"/>
                <wp:effectExtent l="11430" t="5080" r="12065"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3360;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YMwr1NsAAAAJAQAADwAAAAAAAAABACAA&#10;AAAiAAAAZHJzL2Rvd25yZXYueG1sUEsBAhQAFAAAAAgAh07iQCuqBWh8AgAA3QQAAA4AAAAAAAAA&#10;AQAgAAAAKgEAAGRycy9lMm9Eb2MueG1sUEsFBgAAAAAGAAYAWQEAABgGAAAAAA==&#10;" adj="18173">
                <v:fill on="f" focussize="0,0"/>
                <v:stroke color="#000000 [3213]" miterlimit="8" joinstyle="miter"/>
                <v:imagedata o:title=""/>
                <o:lock v:ext="edit" aspectratio="f"/>
              </v:shape>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9"/>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jc w:val="left"/>
        <w:textAlignment w:val="auto"/>
        <w:outlineLvl w:val="9"/>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23093"/>
      <w:r>
        <w:rPr>
          <w:rFonts w:hint="eastAsia" w:ascii="黑体" w:hAnsi="黑体" w:eastAsia="黑体" w:cs="黑体"/>
          <w:b w:val="0"/>
          <w:bCs/>
          <w:color w:val="000000" w:themeColor="text1"/>
          <w:sz w:val="28"/>
          <w:szCs w:val="28"/>
          <w:lang w:val="en-US" w:eastAsia="zh-CN"/>
          <w14:textFill>
            <w14:solidFill>
              <w14:schemeClr w14:val="tx1"/>
            </w14:solidFill>
          </w14:textFill>
        </w:rPr>
        <w:t>五、培养目标</w:t>
      </w:r>
      <w:bookmarkEnd w:id="13"/>
    </w:p>
    <w:p>
      <w:pPr>
        <w:pStyle w:val="12"/>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14" w:name="_Toc38201834"/>
      <w:bookmarkStart w:id="15" w:name="_Toc38299247"/>
      <w:bookmarkStart w:id="16" w:name="_Toc31453"/>
      <w:bookmarkStart w:id="17" w:name="_Toc1217"/>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培养目标</w:t>
      </w:r>
      <w:bookmarkEnd w:id="14"/>
      <w:bookmarkEnd w:id="15"/>
      <w:bookmarkEnd w:id="16"/>
      <w:bookmarkEnd w:id="17"/>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本专业培养理想信念坚定，德、智、体、美、劳全面发展，具有一定的科学文化水平。良好的人文素养、职业道德和创新意识，精益求精的工匠精神，较强的就业能力和可持续发展的能力，掌握本专业知识和技术技能，面向农业服务行业的设施装备领域等职业群，能够从事设施农业生产、设施工程技术与装备应用、农业物联网系统设计与实施等工作的高素质技术技能人才。</w:t>
      </w:r>
    </w:p>
    <w:p>
      <w:pPr>
        <w:pStyle w:val="12"/>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 w:hAnsi="楷体" w:eastAsia="楷体" w:cs="楷体"/>
          <w:b w:val="0"/>
          <w:bCs/>
          <w:color w:val="000000" w:themeColor="text1"/>
          <w:sz w:val="28"/>
          <w:szCs w:val="28"/>
          <w14:textFill>
            <w14:solidFill>
              <w14:schemeClr w14:val="tx1"/>
            </w14:solidFill>
          </w14:textFill>
        </w:rPr>
      </w:pPr>
      <w:bookmarkStart w:id="18" w:name="_Toc26773"/>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lang w:val="en-US" w:eastAsia="zh-CN"/>
          <w14:textFill>
            <w14:solidFill>
              <w14:schemeClr w14:val="tx1"/>
            </w14:solidFill>
          </w14:textFill>
        </w:rPr>
        <w:t>二</w:t>
      </w: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14:textFill>
            <w14:solidFill>
              <w14:schemeClr w14:val="tx1"/>
            </w14:solidFill>
          </w14:textFill>
        </w:rPr>
        <w:t>培养规格</w:t>
      </w:r>
      <w:bookmarkEnd w:id="18"/>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本专业毕业生应在常质、知识和能力等方面达到以下要求:</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1.基本素质</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定拥护中国共产党领导和我国社会主义制度，在习近平新时代中国特色社会主义思想指引下，践行社会主义核心价值观，具有深厚的爱国情感和中华民族自豪感。</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崇尚宪法、遵法守纪、崇德向善、诚实守信、尊重生命、热爱劳动，履行道德准则和行为现范，具有社会责任感和社会参与意识。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勇于奋斗、乐观向上，具有自我管理能力、职业生涯规划的意识，有较强的集体意识和团队合作精神。</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具有健康的体魏、心理和健全的人格，掌握基本运动知识和1</w:t>
      </w:r>
      <w:r>
        <w:rPr>
          <w:rFonts w:hint="eastAsia" w:ascii="微软雅黑" w:hAnsi="微软雅黑" w:eastAsia="微软雅黑" w:cs="微软雅黑"/>
          <w:b w:val="0"/>
          <w:bCs/>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2</w:t>
      </w:r>
      <w:r>
        <w:rPr>
          <w:rFonts w:hint="eastAsia" w:ascii="Arial" w:hAnsi="Arial" w:eastAsia="仿宋_GB2312" w:cs="Arial"/>
          <w:b w:val="0"/>
          <w:bCs/>
          <w:color w:val="000000" w:themeColor="text1"/>
          <w:sz w:val="28"/>
          <w:szCs w:val="28"/>
          <w:lang w:val="en-US" w:eastAsia="zh-CN"/>
          <w14:textFill>
            <w14:solidFill>
              <w14:schemeClr w14:val="tx1"/>
            </w14:solidFill>
          </w14:textFill>
        </w:rPr>
        <w:t>项</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运动技能，养成良好的健身与卫生习惯，以及良好的行为习惯。</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具有定的审美和人文素养，能够形成1</w:t>
      </w:r>
      <w:r>
        <w:rPr>
          <w:rFonts w:hint="eastAsia" w:ascii="微软雅黑" w:hAnsi="微软雅黑" w:eastAsia="微软雅黑" w:cs="微软雅黑"/>
          <w:b w:val="0"/>
          <w:bCs/>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2项艺术特长或爱好。</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知识要求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default"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（1）掌握必备的思想政治理论、科学文化基础知识和中华优秀传统文化知识。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（2）熟悉与本专业相关的法律法规以及环境保护、安全消防等知识。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（3）掌握植物生长与环境、设施作物栽培技术知识。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（4）掌握农作物病虫害识别、防治技术知识。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（5）设施农生产设施农业装备用、农业物联网技术等基础知识。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（6）掌握设施农业生产与管理、农业设施工程设计建设、设施农业装备应用、农业物联网系统设计与实施等知识和方法。</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（7）握常见农用机器人、无人机植保、农机电气控制等基础知识。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（8）社交礼仪或公共关系等相关知识。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能力要求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具有探究学习、终身学习、分析问题和解决问题的能力。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具有良好的语言，文字表达能力和沟通能力。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具有一定的信息加工能力和信息技术应用能力。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（4）能够正确进行设施农业项目的规划与设计、建设。</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（5）他够正确调节和控制设施环境，从事设施作物栽培。</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（6）能够进行设施作物病、虫、草害的综合防治。</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（7）具有农业设施生产的设施及设备的驾驶与作业能力。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（8）能够进行农业物联网系统设计、系统集成、施工及系统管理。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（9）具有植保无人机的飞行控言、农用机器人的基本操作能力。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（10）具有设施农业项目的讲解、分析与展示能力。</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color w:val="000000" w:themeColor="text1"/>
          <w:sz w:val="28"/>
          <w:szCs w:val="28"/>
          <w14:textFill>
            <w14:solidFill>
              <w14:schemeClr w14:val="tx1"/>
            </w14:solidFill>
          </w14:textFill>
        </w:rPr>
        <w:t>职业态度</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职业道德：增强学生的诚信品质、敬业精神、责任意识和遵纪守法意识，不谋私利、公道正派、廉洁自律、坚持原则。</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职业行为：严格执行相关</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职业岗位</w:t>
      </w:r>
      <w:r>
        <w:rPr>
          <w:rFonts w:hint="eastAsia" w:ascii="仿宋_GB2312" w:hAnsi="仿宋_GB2312" w:eastAsia="仿宋_GB2312" w:cs="仿宋_GB2312"/>
          <w:color w:val="000000" w:themeColor="text1"/>
          <w:sz w:val="28"/>
          <w:szCs w:val="28"/>
          <w14:textFill>
            <w14:solidFill>
              <w14:schemeClr w14:val="tx1"/>
            </w14:solidFill>
          </w14:textFill>
        </w:rPr>
        <w:t>标准和安全操作规程。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能严格遵守企业相关管理制度，养成吃苦耐劳、乐于奉献的职业品质</w:t>
      </w:r>
      <w:r>
        <w:rPr>
          <w:rFonts w:hint="eastAsia" w:ascii="仿宋_GB2312" w:hAnsi="仿宋_GB2312" w:eastAsia="仿宋_GB2312" w:cs="仿宋_GB2312"/>
          <w:color w:val="000000" w:themeColor="text1"/>
          <w:sz w:val="28"/>
          <w:szCs w:val="28"/>
          <w14:textFill>
            <w14:solidFill>
              <w14:schemeClr w14:val="tx1"/>
            </w14:solidFill>
          </w14:textFill>
        </w:rPr>
        <w:t>。</w:t>
      </w:r>
    </w:p>
    <w:p>
      <w:pPr>
        <w:pStyle w:val="12"/>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 w:hAnsi="楷体" w:eastAsia="楷体" w:cs="楷体"/>
          <w:b w:val="0"/>
          <w:bCs/>
          <w:color w:val="000000" w:themeColor="text1"/>
          <w:sz w:val="28"/>
          <w:szCs w:val="28"/>
          <w:lang w:eastAsia="zh-CN"/>
          <w14:textFill>
            <w14:solidFill>
              <w14:schemeClr w14:val="tx1"/>
            </w14:solidFill>
          </w14:textFill>
        </w:rPr>
      </w:pPr>
      <w:bookmarkStart w:id="19" w:name="_Toc9617"/>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lang w:val="en-US" w:eastAsia="zh-CN"/>
          <w14:textFill>
            <w14:solidFill>
              <w14:schemeClr w14:val="tx1"/>
            </w14:solidFill>
          </w14:textFill>
        </w:rPr>
        <w:t>三</w:t>
      </w:r>
      <w:r>
        <w:rPr>
          <w:rFonts w:hint="eastAsia" w:ascii="楷体" w:hAnsi="楷体" w:eastAsia="楷体" w:cs="楷体"/>
          <w:b w:val="0"/>
          <w:bCs/>
          <w:color w:val="000000" w:themeColor="text1"/>
          <w:sz w:val="28"/>
          <w:szCs w:val="28"/>
          <w:lang w:eastAsia="zh-CN"/>
          <w14:textFill>
            <w14:solidFill>
              <w14:schemeClr w14:val="tx1"/>
            </w14:solidFill>
          </w14:textFill>
        </w:rPr>
        <w:t>）创新创业能力的培养</w:t>
      </w:r>
      <w:bookmarkEnd w:id="19"/>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改革教育</w:t>
      </w:r>
      <w:r>
        <w:rPr>
          <w:rFonts w:hint="eastAsia" w:ascii="仿宋_GB2312" w:hAnsi="仿宋_GB2312" w:eastAsia="仿宋_GB2312" w:cs="仿宋_GB2312"/>
          <w:color w:val="000000" w:themeColor="text1"/>
          <w:sz w:val="28"/>
          <w:szCs w:val="28"/>
          <w:lang w:eastAsia="zh-CN"/>
          <w14:textFill>
            <w14:solidFill>
              <w14:schemeClr w14:val="tx1"/>
            </w14:solidFill>
          </w14:textFill>
        </w:rPr>
        <w:t>理念，</w:t>
      </w:r>
      <w:r>
        <w:rPr>
          <w:rFonts w:hint="eastAsia" w:ascii="仿宋_GB2312" w:hAnsi="仿宋_GB2312" w:eastAsia="仿宋_GB2312" w:cs="仿宋_GB2312"/>
          <w:color w:val="000000" w:themeColor="text1"/>
          <w:sz w:val="28"/>
          <w:szCs w:val="28"/>
          <w14:textFill>
            <w14:solidFill>
              <w14:schemeClr w14:val="tx1"/>
            </w14:solidFill>
          </w14:textFill>
        </w:rPr>
        <w:t>实现由就业型人才培养目标向创业型人才培养目标的转变。改</w:t>
      </w:r>
      <w:r>
        <w:rPr>
          <w:rFonts w:hint="eastAsia" w:ascii="仿宋_GB2312" w:hAnsi="仿宋_GB2312" w:eastAsia="仿宋_GB2312" w:cs="仿宋_GB2312"/>
          <w:color w:val="000000" w:themeColor="text1"/>
          <w:sz w:val="28"/>
          <w:szCs w:val="28"/>
          <w:lang w:eastAsia="zh-CN"/>
          <w14:textFill>
            <w14:solidFill>
              <w14:schemeClr w14:val="tx1"/>
            </w14:solidFill>
          </w14:textFill>
        </w:rPr>
        <w:t>进</w:t>
      </w:r>
      <w:r>
        <w:rPr>
          <w:rFonts w:hint="eastAsia" w:ascii="仿宋_GB2312" w:hAnsi="仿宋_GB2312" w:eastAsia="仿宋_GB2312" w:cs="仿宋_GB2312"/>
          <w:color w:val="000000" w:themeColor="text1"/>
          <w:sz w:val="28"/>
          <w:szCs w:val="28"/>
          <w14:textFill>
            <w14:solidFill>
              <w14:schemeClr w14:val="tx1"/>
            </w14:solidFill>
          </w14:textFill>
        </w:rPr>
        <w:t>教学方法，从以传授知识为中心转变为以培养学生创新能力为中心，以人为本，构建创新人才培养的教育模式。</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组织各类竞赛及学术讲座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协调大学生的个性发展，促进大学生在创新创业方面得以充分发挥个人才能。</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pStyle w:val="13"/>
        <w:keepNext w:val="0"/>
        <w:keepLines w:val="0"/>
        <w:pageBreakBefore w:val="0"/>
        <w:widowControl w:val="0"/>
        <w:kinsoku/>
        <w:wordWrap/>
        <w:overflowPunct/>
        <w:topLinePunct w:val="0"/>
        <w:autoSpaceDE/>
        <w:autoSpaceDN/>
        <w:bidi w:val="0"/>
        <w:adjustRightInd/>
        <w:snapToGrid w:val="0"/>
        <w:spacing w:line="520" w:lineRule="exact"/>
        <w:ind w:left="319" w:leftChars="152" w:firstLine="280" w:firstLineChars="100"/>
        <w:textAlignment w:val="auto"/>
        <w:outlineLvl w:val="0"/>
        <w:rPr>
          <w:rFonts w:hint="eastAsia" w:ascii="黑体" w:hAnsi="黑体" w:eastAsia="黑体" w:cs="黑体"/>
          <w:color w:val="000000" w:themeColor="text1"/>
          <w:sz w:val="28"/>
          <w:szCs w:val="28"/>
          <w14:textFill>
            <w14:solidFill>
              <w14:schemeClr w14:val="tx1"/>
            </w14:solidFill>
          </w14:textFill>
        </w:rPr>
      </w:pPr>
      <w:bookmarkStart w:id="20" w:name="_Toc29991"/>
      <w:bookmarkStart w:id="21" w:name="_Toc13220"/>
      <w:r>
        <w:rPr>
          <w:rFonts w:hint="eastAsia" w:ascii="黑体" w:hAnsi="黑体" w:eastAsia="黑体" w:cs="黑体"/>
          <w:b w:val="0"/>
          <w:bCs/>
          <w:color w:val="000000" w:themeColor="text1"/>
          <w:sz w:val="28"/>
          <w:szCs w:val="28"/>
          <w:lang w:val="en-US" w:eastAsia="zh-CN"/>
          <w14:textFill>
            <w14:solidFill>
              <w14:schemeClr w14:val="tx1"/>
            </w14:solidFill>
          </w14:textFill>
        </w:rPr>
        <w:t>六、</w:t>
      </w:r>
      <w:r>
        <w:rPr>
          <w:rFonts w:hint="eastAsia" w:ascii="黑体" w:hAnsi="黑体" w:eastAsia="黑体" w:cs="黑体"/>
          <w:b w:val="0"/>
          <w:bCs/>
          <w:color w:val="000000" w:themeColor="text1"/>
          <w:sz w:val="28"/>
          <w:szCs w:val="28"/>
          <w14:textFill>
            <w14:solidFill>
              <w14:schemeClr w14:val="tx1"/>
            </w14:solidFill>
          </w14:textFill>
        </w:rPr>
        <w:t>课程设置及要求</w:t>
      </w:r>
      <w:bookmarkEnd w:id="20"/>
      <w:bookmarkEnd w:id="21"/>
      <w:r>
        <w:rPr>
          <w:rFonts w:hint="eastAsia" w:ascii="黑体" w:hAnsi="黑体" w:eastAsia="黑体" w:cs="黑体"/>
          <w:color w:val="000000" w:themeColor="text1"/>
          <w:sz w:val="28"/>
          <w:szCs w:val="28"/>
          <w14:textFill>
            <w14:solidFill>
              <w14:schemeClr w14:val="tx1"/>
            </w14:solidFill>
          </w14:textFill>
        </w:rPr>
        <w:t xml:space="preserve"> </w:t>
      </w:r>
    </w:p>
    <w:p>
      <w:pPr>
        <w:pStyle w:val="12"/>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22" w:name="_Toc38299251"/>
      <w:bookmarkStart w:id="23" w:name="_Toc38201838"/>
      <w:bookmarkStart w:id="24" w:name="_Toc16372"/>
      <w:bookmarkStart w:id="25" w:name="_Toc29687"/>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本专业公共基础课设置</w:t>
      </w:r>
      <w:bookmarkEnd w:id="22"/>
      <w:bookmarkEnd w:id="23"/>
      <w:bookmarkEnd w:id="24"/>
      <w:bookmarkEnd w:id="25"/>
    </w:p>
    <w:tbl>
      <w:tblPr>
        <w:tblStyle w:val="6"/>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课程名称</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课程目标</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color w:val="404040"/>
                <w:szCs w:val="21"/>
                <w:shd w:val="clear" w:color="000000" w:fill="FFFFFF"/>
                <w:lang w:val="en-US" w:eastAsia="zh-CN"/>
              </w:rPr>
              <w:t>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形势与政策</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404040"/>
                <w:szCs w:val="21"/>
                <w:shd w:val="clear" w:color="000000" w:fill="FFFFFF"/>
                <w:lang w:val="en-US" w:eastAsia="zh-CN"/>
              </w:rPr>
              <w:t>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rPr>
              <w:t>军训</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大学生军训课程使每名同学掌握单个军人队列动作要领。养成良好的素质和优良作风。课程内容包括: 1</w:t>
            </w:r>
            <w:r>
              <w:rPr>
                <w:rFonts w:hint="eastAsia" w:ascii="宋体" w:hAnsi="宋体" w:eastAsia="宋体" w:cs="宋体"/>
                <w:szCs w:val="21"/>
                <w:lang w:val="en-US" w:eastAsia="zh-CN"/>
              </w:rPr>
              <w:t>.</w:t>
            </w:r>
            <w:r>
              <w:rPr>
                <w:rFonts w:hint="eastAsia" w:ascii="宋体" w:hAnsi="宋体" w:eastAsia="宋体" w:cs="宋体"/>
                <w:szCs w:val="21"/>
              </w:rPr>
              <w:t>单个军人队列动作（立正、稍息、跨立；停止间转法；行进与立定；步法变换；坐下，蹲下，起立）。2</w:t>
            </w:r>
            <w:r>
              <w:rPr>
                <w:rFonts w:hint="eastAsia" w:ascii="宋体" w:hAnsi="宋体" w:eastAsia="宋体" w:cs="宋体"/>
                <w:szCs w:val="21"/>
                <w:lang w:val="en-US" w:eastAsia="zh-CN"/>
              </w:rPr>
              <w:t>.</w:t>
            </w:r>
            <w:r>
              <w:rPr>
                <w:rFonts w:hint="eastAsia" w:ascii="宋体" w:hAnsi="宋体" w:eastAsia="宋体" w:cs="宋体"/>
                <w:szCs w:val="21"/>
              </w:rPr>
              <w:t>整理内务卫生。3</w:t>
            </w:r>
            <w:r>
              <w:rPr>
                <w:rFonts w:hint="eastAsia" w:ascii="宋体" w:hAnsi="宋体" w:eastAsia="宋体" w:cs="宋体"/>
                <w:szCs w:val="21"/>
                <w:lang w:val="en-US" w:eastAsia="zh-CN"/>
              </w:rPr>
              <w:t>.</w:t>
            </w:r>
            <w:r>
              <w:rPr>
                <w:rFonts w:hint="eastAsia" w:ascii="宋体" w:hAnsi="宋体" w:eastAsia="宋体" w:cs="宋体"/>
                <w:szCs w:val="21"/>
              </w:rPr>
              <w:t>紧急集合和疏散4</w:t>
            </w:r>
            <w:r>
              <w:rPr>
                <w:rFonts w:hint="eastAsia" w:ascii="宋体" w:hAnsi="宋体" w:eastAsia="宋体" w:cs="宋体"/>
                <w:szCs w:val="21"/>
                <w:lang w:val="en-US" w:eastAsia="zh-CN"/>
              </w:rPr>
              <w:t>.</w:t>
            </w:r>
            <w:r>
              <w:rPr>
                <w:rFonts w:hint="eastAsia" w:ascii="宋体" w:hAnsi="宋体" w:eastAsia="宋体" w:cs="宋体"/>
                <w:szCs w:val="21"/>
              </w:rPr>
              <w:t>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军事</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szCs w:val="21"/>
                <w:lang w:eastAsia="zh-CN"/>
              </w:rPr>
              <w:t>理论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w:t>
            </w:r>
            <w:r>
              <w:rPr>
                <w:rFonts w:hint="eastAsia" w:ascii="宋体" w:hAnsi="宋体" w:eastAsia="宋体" w:cs="宋体"/>
                <w:color w:val="auto"/>
                <w:szCs w:val="21"/>
                <w:lang w:val="en-US" w:eastAsia="zh-CN"/>
              </w:rPr>
              <w:t>理论</w:t>
            </w:r>
            <w:r>
              <w:rPr>
                <w:rFonts w:hint="eastAsia" w:ascii="宋体" w:hAnsi="宋体" w:eastAsia="宋体" w:cs="宋体"/>
                <w:color w:val="auto"/>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劳动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w:t>
            </w:r>
            <w:r>
              <w:rPr>
                <w:rFonts w:hint="eastAsia" w:ascii="宋体" w:hAnsi="宋体" w:eastAsia="宋体" w:cs="宋体"/>
                <w:szCs w:val="21"/>
                <w:lang w:eastAsia="zh-CN"/>
              </w:rPr>
              <w:t>、</w:t>
            </w:r>
            <w:r>
              <w:rPr>
                <w:rFonts w:hint="eastAsia" w:ascii="宋体" w:hAnsi="宋体" w:eastAsia="宋体" w:cs="宋体"/>
                <w:szCs w:val="21"/>
              </w:rPr>
              <w:t>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Cs w:val="21"/>
                <w:lang w:bidi="ar"/>
              </w:rPr>
              <w:t>道德与法治</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围绕职业岗位和社会的需要，结合学生情感、意志、能力形成过程，帮助大学生树立正确的人生观、价值观、道德观和法制观</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铸牢中华民族共同体意识</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szCs w:val="21"/>
                <w:lang w:eastAsia="zh-CN"/>
              </w:rPr>
              <w:t>毛泽东思想和中国特色社会主义理论体系概论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w:t>
            </w:r>
            <w:r>
              <w:rPr>
                <w:rFonts w:hint="eastAsia" w:ascii="宋体" w:hAnsi="宋体" w:eastAsia="宋体" w:cs="宋体"/>
                <w:szCs w:val="21"/>
                <w:lang w:val="en-US" w:eastAsia="zh-CN"/>
              </w:rPr>
              <w:t>等</w:t>
            </w:r>
            <w:r>
              <w:rPr>
                <w:rFonts w:hint="eastAsia" w:ascii="宋体" w:hAnsi="宋体" w:eastAsia="宋体" w:cs="宋体"/>
                <w:szCs w:val="21"/>
              </w:rPr>
              <w:t>社会现实问题，具</w:t>
            </w:r>
            <w:r>
              <w:rPr>
                <w:rFonts w:hint="eastAsia" w:ascii="宋体" w:hAnsi="宋体" w:eastAsia="宋体" w:cs="宋体"/>
                <w:szCs w:val="21"/>
                <w:lang w:val="en-US" w:eastAsia="zh-CN"/>
              </w:rPr>
              <w:t>备</w:t>
            </w:r>
            <w:r>
              <w:rPr>
                <w:rFonts w:hint="eastAsia" w:ascii="宋体" w:hAnsi="宋体" w:eastAsia="宋体" w:cs="宋体"/>
                <w:szCs w:val="21"/>
              </w:rPr>
              <w:t>初步分析、判断能力。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kern w:val="2"/>
                <w:sz w:val="21"/>
                <w:szCs w:val="21"/>
                <w:shd w:val="clear" w:color="000000" w:fill="FFFFFF"/>
                <w:lang w:val="en-US" w:eastAsia="zh-CN" w:bidi="ar-SA"/>
              </w:rPr>
              <w:t>9</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习近平新时代中国特色社会主义</w:t>
            </w:r>
            <w:r>
              <w:rPr>
                <w:rFonts w:hint="eastAsia" w:ascii="宋体" w:hAnsi="宋体" w:eastAsia="宋体" w:cs="宋体"/>
                <w:szCs w:val="21"/>
                <w:lang w:val="en-US" w:eastAsia="zh-CN"/>
              </w:rPr>
              <w:t>思想概论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10</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职业发展与就业指导</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英语</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1"/>
                <w:szCs w:val="21"/>
                <w:lang w:val="en-US" w:eastAsia="zh-CN" w:bidi="ar-SA"/>
              </w:rPr>
            </w:pP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高职英语的教学内容与学生的专业和生活实际紧密联系，主要围绕交通运输、职业生涯、日常生活、饮食、学习、数字时代、时尚与美</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世界文化</w:t>
            </w:r>
            <w:r>
              <w:rPr>
                <w:rFonts w:hint="eastAsia" w:ascii="宋体" w:hAnsi="宋体" w:eastAsia="宋体" w:cs="宋体"/>
                <w:color w:val="auto"/>
                <w:szCs w:val="21"/>
              </w:rPr>
              <w:t>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信息</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技术</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高职实用语文</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普及文学常识及中国</w:t>
            </w:r>
            <w:r>
              <w:rPr>
                <w:rFonts w:hint="eastAsia" w:ascii="宋体" w:hAnsi="宋体" w:eastAsia="宋体" w:cs="宋体"/>
                <w:szCs w:val="21"/>
                <w:lang w:val="en-US" w:eastAsia="zh-CN"/>
              </w:rPr>
              <w:t>传统</w:t>
            </w:r>
            <w:r>
              <w:rPr>
                <w:rFonts w:hint="eastAsia" w:ascii="宋体" w:hAnsi="宋体" w:eastAsia="宋体" w:cs="宋体"/>
                <w:szCs w:val="21"/>
              </w:rPr>
              <w:t>文化思想，提高人文素养</w:t>
            </w:r>
            <w:r>
              <w:rPr>
                <w:rFonts w:hint="eastAsia" w:ascii="宋体" w:hAnsi="宋体" w:eastAsia="宋体" w:cs="宋体"/>
                <w:szCs w:val="21"/>
                <w:lang w:eastAsia="zh-CN"/>
              </w:rPr>
              <w:t>。</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高职实用语文主要教学内容：主要作家、作品、经典篇章、文学史知识。</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体育与健康</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hint="eastAsia" w:ascii="宋体" w:hAnsi="宋体" w:eastAsia="宋体" w:cs="宋体"/>
                <w:color w:val="auto"/>
                <w:szCs w:val="21"/>
                <w:lang w:val="en-US" w:eastAsia="zh-CN"/>
              </w:rPr>
              <w:t>具备一定的</w:t>
            </w:r>
            <w:r>
              <w:rPr>
                <w:rFonts w:hint="eastAsia" w:ascii="宋体" w:hAnsi="宋体" w:eastAsia="宋体" w:cs="宋体"/>
                <w:color w:val="auto"/>
                <w:szCs w:val="21"/>
              </w:rPr>
              <w:t>篮球、足球</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rPr>
              <w:t>高</w:t>
            </w:r>
            <w:r>
              <w:rPr>
                <w:rFonts w:hint="eastAsia" w:ascii="宋体" w:hAnsi="宋体" w:eastAsia="宋体" w:cs="宋体"/>
                <w:szCs w:val="21"/>
                <w:lang w:eastAsia="zh-CN"/>
              </w:rPr>
              <w:t>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数学</w:t>
            </w:r>
          </w:p>
        </w:tc>
        <w:tc>
          <w:tcPr>
            <w:tcW w:w="3834"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心理健康</w:t>
            </w:r>
            <w:r>
              <w:rPr>
                <w:rFonts w:hint="eastAsia" w:ascii="宋体" w:hAnsi="宋体" w:eastAsia="宋体" w:cs="宋体"/>
                <w:szCs w:val="21"/>
                <w:lang w:eastAsia="zh-CN"/>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大学生安全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创新与创业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能够进行创业机会</w:t>
            </w:r>
            <w:r>
              <w:rPr>
                <w:rFonts w:hint="eastAsia" w:ascii="宋体" w:hAnsi="宋体" w:eastAsia="宋体" w:cs="宋体"/>
                <w:szCs w:val="21"/>
                <w:lang w:val="en-US" w:eastAsia="zh-CN"/>
              </w:rPr>
              <w:t>识</w:t>
            </w:r>
            <w:r>
              <w:rPr>
                <w:rFonts w:hint="eastAsia" w:ascii="宋体" w:hAnsi="宋体" w:eastAsia="宋体" w:cs="宋体"/>
                <w:szCs w:val="21"/>
              </w:rPr>
              <w:t>别和分析，树立科学的创新创业观，激发学生的创新创业意识，提高学生的社会责任感和创业精神，促进学生创业、就业全面发展。</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19</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“四史”教育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12"/>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pPr>
      <w:bookmarkStart w:id="26" w:name="_Toc38299252"/>
      <w:bookmarkStart w:id="27" w:name="_Toc27140"/>
      <w:bookmarkStart w:id="28" w:name="_Toc1006"/>
      <w:bookmarkStart w:id="29" w:name="_Toc38201839"/>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）专业（技能）课设置</w:t>
      </w:r>
      <w:bookmarkEnd w:id="26"/>
      <w:bookmarkEnd w:id="27"/>
      <w:bookmarkEnd w:id="28"/>
      <w:bookmarkEnd w:id="29"/>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专业课程一般包括专业基础课程、专业核心课程、专业拓展课程，并辆盖有关实践性教学环节。学校可自主确定课程名称，但应包括以下主要教学内容:</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（1）专业基础课程</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植物生产环境、设施作物栽培、作物病虫害防治、工程制图、电工电子技术、农业物联网概论、程序设计基础。</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（2）专业核心课程</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专业核心课程一般设置6</w:t>
      </w:r>
      <w:r>
        <w:rPr>
          <w:rFonts w:hint="eastAsia" w:ascii="微软雅黑" w:hAnsi="微软雅黑" w:eastAsia="微软雅黑" w:cs="微软雅黑"/>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8门，包括:设施农业生产技术、农业机械使用技术、农机维护与维修、传感器及检测技术、无线传输网络技术、农业物联网工程设计与实施等。</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（3）专业拓展课程</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专业拓展课程包括:设施运营概预算、农用机器人操作、无人机植保、农机电气控制与PLC、设施安全用电、市场营销等。</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default"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表2核心课程主要教学内容</w:t>
      </w:r>
    </w:p>
    <w:tbl>
      <w:tblPr>
        <w:tblStyle w:val="6"/>
        <w:tblW w:w="84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6"/>
        <w:gridCol w:w="2190"/>
        <w:gridCol w:w="5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序号</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专业核心课程名称</w:t>
            </w:r>
          </w:p>
        </w:tc>
        <w:tc>
          <w:tcPr>
            <w:tcW w:w="5603"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主要教学内容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1</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设施农业生产技术</w:t>
            </w:r>
          </w:p>
        </w:tc>
        <w:tc>
          <w:tcPr>
            <w:tcW w:w="56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园艺设施及相关技术，包括设施种类、设施结构及设施性能及调控技术、设施育苗技术、园艺设施新技术、设施运行、维护与管理；以设施蔬菜生产技术为例，学习设施蔬菜的类型，品种特点及生长发育规律，蔬菜的育苗，喜地移栽、营养施肥、栽培管理、病虫害防治及高产高效栽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2</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设施机械使用技术</w:t>
            </w:r>
          </w:p>
        </w:tc>
        <w:tc>
          <w:tcPr>
            <w:tcW w:w="56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农业生产基础知识，常用农业机械的结构和原理，各类机械检测与维修的基本知识，材料使用和工时成本计算的方法，工作安全和事故防护规定；动力机械使用技术；耕整地机械使用技术；种植机械使用技术；地膜覆盖机械仲用技术；灌溉系统与设备使用技术；园面保护与修前机械伸用技术；果蔬收获机械使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3</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农机维护与维修</w:t>
            </w:r>
          </w:p>
        </w:tc>
        <w:tc>
          <w:tcPr>
            <w:tcW w:w="56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机械基础知识，机械加工与焊接基础知识，农业机械基础知识；接修与故陪念断，零件鉴定与修复；动力机械的结构，原理与修理，作业机械的结构，原理与修理；修复检验，新产品与新技术。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8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4</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传感器及检测技术</w:t>
            </w:r>
          </w:p>
        </w:tc>
        <w:tc>
          <w:tcPr>
            <w:tcW w:w="56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检测技术概论，传威器的基本知识:电阻式传感器、电感式传感器、电容式传感器、压电式传感器、霍尔传感器、温度与热敏传感器、数字传感器、新型传感器的基本概念，工作原理，主要特性，测量电路及式典型应用；传感器的信号处理与接口电路，实用传感器的应用和电路制作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5</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无线传感网络技术</w:t>
            </w:r>
          </w:p>
        </w:tc>
        <w:tc>
          <w:tcPr>
            <w:tcW w:w="56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无线传感网络基础知识和体系结构；无线传感网络中的物理层协议、MAC 协议、路由协议、拓扑控制协议以及无线网络协议IEEE802.15.4等通信协议；无线传感网络的节点定位，目标跟踪和时间同步技术；基于无线传感网络的和能应用的基本设计方法；典刑无线传感网络的通信协议应用。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20" w:hRule="atLeast"/>
        </w:trPr>
        <w:tc>
          <w:tcPr>
            <w:tcW w:w="63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6</w:t>
            </w:r>
          </w:p>
        </w:tc>
        <w:tc>
          <w:tcPr>
            <w:tcW w:w="2190"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农业物联网工程设计与实施</w:t>
            </w:r>
          </w:p>
        </w:tc>
        <w:tc>
          <w:tcPr>
            <w:tcW w:w="56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sz w:val="21"/>
                <w:szCs w:val="21"/>
                <w:vertAlign w:val="baseline"/>
                <w:lang w:val="en-US" w:eastAsia="zh-CN"/>
              </w:rPr>
            </w:pPr>
            <w:r>
              <w:rPr>
                <w:rFonts w:hint="eastAsia" w:ascii="宋体" w:hAnsi="宋体" w:eastAsia="宋体" w:cs="Times New Roman"/>
                <w:color w:val="000000"/>
                <w:sz w:val="21"/>
                <w:szCs w:val="21"/>
                <w:vertAlign w:val="baseline"/>
                <w:lang w:val="en-US" w:eastAsia="zh-CN"/>
              </w:rPr>
              <w:t>农业物联网工程的技术架构、物联网工程的关键技术(物联网安全设计、物联网应用软件设计，物联网工程实施讨程，物联网测试与维护，物联网故陪分析与处理等)；农业物联网工程案例需求分析、总体方案设计、系统功能设计、设备选型，系统集成，测试，管理和维护等；工程项目实践。</w:t>
            </w:r>
          </w:p>
        </w:tc>
      </w:tr>
    </w:tbl>
    <w:p>
      <w:pPr>
        <w:ind w:firstLine="600" w:firstLineChars="200"/>
        <w:outlineLvl w:val="0"/>
        <w:rPr>
          <w:rFonts w:hint="eastAsia" w:ascii="黑体" w:hAnsi="黑体" w:eastAsia="黑体" w:cs="黑体"/>
          <w:b w:val="0"/>
          <w:bCs/>
          <w:color w:val="000000" w:themeColor="text1"/>
          <w:sz w:val="30"/>
          <w:szCs w:val="30"/>
          <w14:textFill>
            <w14:solidFill>
              <w14:schemeClr w14:val="tx1"/>
            </w14:solidFill>
          </w14:textFill>
        </w:rPr>
      </w:pPr>
      <w:bookmarkStart w:id="30" w:name="_Toc10507"/>
      <w:r>
        <w:rPr>
          <w:rFonts w:hint="eastAsia" w:ascii="黑体" w:hAnsi="黑体" w:eastAsia="黑体" w:cs="黑体"/>
          <w:b w:val="0"/>
          <w:bCs/>
          <w:color w:val="000000" w:themeColor="text1"/>
          <w:sz w:val="30"/>
          <w:szCs w:val="30"/>
          <w:lang w:val="en-US" w:eastAsia="zh-CN"/>
          <w14:textFill>
            <w14:solidFill>
              <w14:schemeClr w14:val="tx1"/>
            </w14:solidFill>
          </w14:textFill>
        </w:rPr>
        <w:t>七、</w:t>
      </w:r>
      <w:r>
        <w:rPr>
          <w:rFonts w:hint="eastAsia" w:ascii="黑体" w:hAnsi="黑体" w:eastAsia="黑体" w:cs="黑体"/>
          <w:b w:val="0"/>
          <w:bCs/>
          <w:color w:val="000000" w:themeColor="text1"/>
          <w:sz w:val="30"/>
          <w:szCs w:val="30"/>
          <w14:textFill>
            <w14:solidFill>
              <w14:schemeClr w14:val="tx1"/>
            </w14:solidFill>
          </w14:textFill>
        </w:rPr>
        <w:t>教学进程总体安排</w:t>
      </w:r>
      <w:bookmarkEnd w:id="30"/>
    </w:p>
    <w:p>
      <w:pPr>
        <w:pStyle w:val="12"/>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pPr>
      <w:bookmarkStart w:id="31" w:name="_Toc18477"/>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）教育教学时间安排表</w:t>
      </w:r>
      <w:bookmarkEnd w:id="31"/>
    </w:p>
    <w:tbl>
      <w:tblPr>
        <w:tblStyle w:val="6"/>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bl>
    <w:p>
      <w:pPr>
        <w:pStyle w:val="12"/>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pPr>
      <w:bookmarkStart w:id="32" w:name="_Toc2060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）理论与实践教学学时分配表</w:t>
      </w:r>
      <w:bookmarkEnd w:id="32"/>
    </w:p>
    <w:tbl>
      <w:tblPr>
        <w:tblStyle w:val="6"/>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702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403</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57.4%</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t>1616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t>448</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t>27.72%</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宋体"/>
                <w:b w:val="0"/>
                <w:bCs w:val="0"/>
                <w:color w:val="000000" w:themeColor="text1"/>
                <w:kern w:val="0"/>
                <w:sz w:val="21"/>
                <w:szCs w:val="21"/>
                <w:lang w:val="en-US" w:eastAsia="zh-CN" w:bidi="ar-SA"/>
                <w14:textFill>
                  <w14:solidFill>
                    <w14:schemeClr w14:val="tx1"/>
                  </w14:solidFill>
                </w14:textFill>
              </w:rPr>
              <w:t>1168</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b w:val="0"/>
                <w:bCs w:val="0"/>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24"/>
                <w:szCs w:val="24"/>
                <w:lang w:val="en-US" w:eastAsia="zh-CN"/>
                <w14:textFill>
                  <w14:solidFill>
                    <w14:schemeClr w14:val="tx1"/>
                  </w14:solidFill>
                </w14:textFill>
              </w:rPr>
              <w:t>72.27%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256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128</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50%</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128</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宋体"/>
                <w:i w:val="0"/>
                <w:iCs w:val="0"/>
                <w:color w:val="000000"/>
                <w:kern w:val="2"/>
                <w:sz w:val="22"/>
                <w:szCs w:val="22"/>
                <w:u w:val="none"/>
                <w:lang w:val="en-US" w:eastAsia="zh-CN" w:bidi="ar-SA"/>
              </w:rPr>
            </w:pPr>
            <w:r>
              <w:rPr>
                <w:rFonts w:hint="eastAsia" w:ascii="Times New Roman" w:hAnsi="Times New Roman" w:eastAsia="宋体" w:cs="宋体"/>
                <w:i w:val="0"/>
                <w:iCs w:val="0"/>
                <w:color w:val="000000"/>
                <w:kern w:val="2"/>
                <w:sz w:val="22"/>
                <w:szCs w:val="22"/>
                <w:u w:val="none"/>
                <w:lang w:val="en-US" w:eastAsia="zh-CN" w:bidi="ar-SA"/>
              </w:rPr>
              <w:t>2670</w:t>
            </w:r>
          </w:p>
        </w:tc>
        <w:tc>
          <w:tcPr>
            <w:tcW w:w="1417"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i w:val="0"/>
                <w:iCs w:val="0"/>
                <w:color w:val="000000"/>
                <w:kern w:val="2"/>
                <w:sz w:val="22"/>
                <w:szCs w:val="22"/>
                <w:u w:val="none"/>
                <w:lang w:val="en-US" w:eastAsia="zh-CN" w:bidi="ar-SA"/>
              </w:rPr>
            </w:pPr>
            <w:r>
              <w:rPr>
                <w:rFonts w:hint="eastAsia" w:ascii="Times New Roman" w:hAnsi="Times New Roman" w:eastAsia="宋体" w:cs="宋体"/>
                <w:i w:val="0"/>
                <w:iCs w:val="0"/>
                <w:color w:val="000000"/>
                <w:kern w:val="2"/>
                <w:sz w:val="22"/>
                <w:szCs w:val="22"/>
                <w:u w:val="none"/>
                <w:lang w:val="en-US" w:eastAsia="zh-CN" w:bidi="ar-SA"/>
              </w:rPr>
              <w:t>1070</w:t>
            </w:r>
          </w:p>
        </w:tc>
        <w:tc>
          <w:tcPr>
            <w:tcW w:w="1134"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宋体"/>
                <w:i w:val="0"/>
                <w:iCs w:val="0"/>
                <w:color w:val="000000"/>
                <w:kern w:val="2"/>
                <w:sz w:val="22"/>
                <w:szCs w:val="22"/>
                <w:u w:val="none"/>
                <w:lang w:val="en-US" w:eastAsia="zh-CN" w:bidi="ar-SA"/>
              </w:rPr>
            </w:pP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1600</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702</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Times New Roman" w:hAnsi="Times New Roman" w:eastAsia="仿宋_GB2312" w:cs="仿宋_GB2312"/>
                <w:color w:val="000000" w:themeColor="text1"/>
                <w:sz w:val="24"/>
                <w:szCs w:val="24"/>
                <w14:textFill>
                  <w14:solidFill>
                    <w14:schemeClr w14:val="tx1"/>
                  </w14:solidFill>
                </w14:textFill>
              </w:rPr>
            </w:pPr>
            <w:r>
              <w:rPr>
                <w:rFonts w:hint="eastAsia" w:ascii="Times New Roman" w:hAnsi="Times New Roman" w:eastAsia="仿宋_GB2312" w:cs="仿宋_GB2312"/>
                <w:color w:val="000000" w:themeColor="text1"/>
                <w:kern w:val="0"/>
                <w:sz w:val="24"/>
                <w:szCs w:val="24"/>
                <w14:textFill>
                  <w14:solidFill>
                    <w14:schemeClr w14:val="tx1"/>
                  </w14:solidFill>
                </w14:textFill>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26.29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362</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Times New Roman" w:hAnsi="Times New Roman" w:eastAsia="仿宋_GB2312" w:cs="仿宋_GB2312"/>
                <w:color w:val="000000" w:themeColor="text1"/>
                <w:sz w:val="24"/>
                <w:szCs w:val="24"/>
                <w14:textFill>
                  <w14:solidFill>
                    <w14:schemeClr w14:val="tx1"/>
                  </w14:solidFill>
                </w14:textFill>
              </w:rPr>
            </w:pPr>
            <w:r>
              <w:rPr>
                <w:rFonts w:hint="eastAsia" w:ascii="Times New Roman" w:hAnsi="Times New Roman" w:eastAsia="仿宋_GB2312" w:cs="仿宋_GB2312"/>
                <w:color w:val="000000" w:themeColor="text1"/>
                <w:kern w:val="0"/>
                <w:sz w:val="24"/>
                <w:szCs w:val="24"/>
                <w14:textFill>
                  <w14:solidFill>
                    <w14:schemeClr w14:val="tx1"/>
                  </w14:solidFill>
                </w14:textFill>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Times New Roman" w:hAnsi="Times New Roman" w:eastAsia="仿宋_GB2312" w:cs="仿宋_GB2312"/>
                <w:color w:val="000000" w:themeColor="text1"/>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sz w:val="24"/>
                <w:szCs w:val="24"/>
                <w:lang w:val="en-US" w:eastAsia="zh-CN"/>
                <w14:textFill>
                  <w14:solidFill>
                    <w14:schemeClr w14:val="tx1"/>
                  </w14:solidFill>
                </w14:textFill>
              </w:rPr>
              <w:t>13.56%</w:t>
            </w:r>
          </w:p>
        </w:tc>
      </w:tr>
    </w:tbl>
    <w:p>
      <w:pPr>
        <w:tabs>
          <w:tab w:val="left" w:pos="5049"/>
        </w:tabs>
        <w:bidi w:val="0"/>
        <w:jc w:val="left"/>
        <w:rPr>
          <w:lang w:val="en-US" w:eastAsia="zh-CN"/>
        </w:rPr>
        <w:sectPr>
          <w:footerReference r:id="rId4" w:type="default"/>
          <w:pgSz w:w="11906" w:h="16838"/>
          <w:pgMar w:top="2098" w:right="1474" w:bottom="1984" w:left="1587" w:header="851" w:footer="992" w:gutter="0"/>
          <w:pgNumType w:fmt="decimal"/>
          <w:cols w:space="720" w:num="1"/>
          <w:docGrid w:type="lines" w:linePitch="312" w:charSpace="0"/>
        </w:sectPr>
      </w:pPr>
    </w:p>
    <w:p>
      <w:pPr>
        <w:pStyle w:val="12"/>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pPr>
      <w:bookmarkStart w:id="33" w:name="_Toc223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）教学进度安排计划表----必修课程设置及学分、学时、进程表</w:t>
      </w:r>
      <w:bookmarkEnd w:id="33"/>
    </w:p>
    <w:tbl>
      <w:tblPr>
        <w:tblStyle w:val="7"/>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388"/>
        <w:gridCol w:w="446"/>
        <w:gridCol w:w="1309"/>
        <w:gridCol w:w="1712"/>
        <w:gridCol w:w="561"/>
        <w:gridCol w:w="548"/>
        <w:gridCol w:w="169"/>
        <w:gridCol w:w="404"/>
        <w:gridCol w:w="576"/>
        <w:gridCol w:w="604"/>
        <w:gridCol w:w="561"/>
        <w:gridCol w:w="330"/>
        <w:gridCol w:w="246"/>
        <w:gridCol w:w="576"/>
        <w:gridCol w:w="561"/>
        <w:gridCol w:w="561"/>
        <w:gridCol w:w="426"/>
        <w:gridCol w:w="150"/>
        <w:gridCol w:w="589"/>
        <w:gridCol w:w="517"/>
        <w:gridCol w:w="1655"/>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6" w:type="pct"/>
            <w:gridSpan w:val="2"/>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类别</w:t>
            </w:r>
          </w:p>
        </w:tc>
        <w:tc>
          <w:tcPr>
            <w:tcW w:w="157"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序号</w:t>
            </w:r>
          </w:p>
        </w:tc>
        <w:tc>
          <w:tcPr>
            <w:tcW w:w="461"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课程代码</w:t>
            </w:r>
          </w:p>
        </w:tc>
        <w:tc>
          <w:tcPr>
            <w:tcW w:w="603"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课程名称</w:t>
            </w:r>
          </w:p>
        </w:tc>
        <w:tc>
          <w:tcPr>
            <w:tcW w:w="391"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课程性质</w:t>
            </w:r>
          </w:p>
        </w:tc>
        <w:tc>
          <w:tcPr>
            <w:tcW w:w="202" w:type="pct"/>
            <w:gridSpan w:val="2"/>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学分</w:t>
            </w:r>
          </w:p>
        </w:tc>
        <w:tc>
          <w:tcPr>
            <w:tcW w:w="614" w:type="pct"/>
            <w:gridSpan w:val="3"/>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教学课时</w:t>
            </w:r>
          </w:p>
        </w:tc>
        <w:tc>
          <w:tcPr>
            <w:tcW w:w="1212" w:type="pct"/>
            <w:gridSpan w:val="8"/>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教学进程(学期、教学活动周数</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课堂教学周数）</w:t>
            </w:r>
          </w:p>
        </w:tc>
        <w:tc>
          <w:tcPr>
            <w:tcW w:w="182" w:type="pct"/>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考核</w:t>
            </w:r>
          </w:p>
        </w:tc>
        <w:tc>
          <w:tcPr>
            <w:tcW w:w="583" w:type="pct"/>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开课</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部门</w:t>
            </w:r>
          </w:p>
        </w:tc>
        <w:tc>
          <w:tcPr>
            <w:tcW w:w="305"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6" w:type="pct"/>
            <w:gridSpan w:val="2"/>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61"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0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7" w:type="pct"/>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类型(A/B</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93" w:type="pct"/>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是否</w:t>
            </w:r>
          </w:p>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理实</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一体</w:t>
            </w:r>
          </w:p>
        </w:tc>
        <w:tc>
          <w:tcPr>
            <w:tcW w:w="202" w:type="pct"/>
            <w:gridSpan w:val="2"/>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3"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总计</w:t>
            </w:r>
          </w:p>
        </w:tc>
        <w:tc>
          <w:tcPr>
            <w:tcW w:w="213"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理论</w:t>
            </w:r>
          </w:p>
        </w:tc>
        <w:tc>
          <w:tcPr>
            <w:tcW w:w="197" w:type="pct"/>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实践</w:t>
            </w:r>
          </w:p>
        </w:tc>
        <w:tc>
          <w:tcPr>
            <w:tcW w:w="203"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1学期</w:t>
            </w:r>
          </w:p>
        </w:tc>
        <w:tc>
          <w:tcPr>
            <w:tcW w:w="203"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2学期</w:t>
            </w:r>
          </w:p>
        </w:tc>
        <w:tc>
          <w:tcPr>
            <w:tcW w:w="19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3学期</w:t>
            </w:r>
          </w:p>
        </w:tc>
        <w:tc>
          <w:tcPr>
            <w:tcW w:w="19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4学期</w:t>
            </w:r>
          </w:p>
        </w:tc>
        <w:tc>
          <w:tcPr>
            <w:tcW w:w="203"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5学期</w:t>
            </w:r>
          </w:p>
        </w:tc>
        <w:tc>
          <w:tcPr>
            <w:tcW w:w="20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6学期</w:t>
            </w:r>
          </w:p>
        </w:tc>
        <w:tc>
          <w:tcPr>
            <w:tcW w:w="182"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6" w:type="pct"/>
            <w:gridSpan w:val="2"/>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61"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0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2" w:type="pct"/>
            <w:gridSpan w:val="2"/>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1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3"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203"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19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19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203"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207" w:type="pct"/>
            <w:vAlign w:val="center"/>
          </w:tcPr>
          <w:p>
            <w:pPr>
              <w:widowControl/>
              <w:jc w:val="center"/>
              <w:textAlignment w:val="center"/>
              <w:outlineLvl w:val="9"/>
              <w:rPr>
                <w:rFonts w:hint="eastAsia" w:ascii="楷体_GB2312" w:hAnsi="楷体_GB2312" w:eastAsia="宋体"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182"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6" w:type="pct"/>
            <w:gridSpan w:val="2"/>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61"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0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2" w:type="pct"/>
            <w:gridSpan w:val="2"/>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1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97"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03"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203"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19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197"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203" w:type="pct"/>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207" w:type="pct"/>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182"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基    础    课</w:t>
            </w:r>
          </w:p>
        </w:tc>
        <w:tc>
          <w:tcPr>
            <w:tcW w:w="136" w:type="pct"/>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必    修    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461"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形势与政策I</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0.25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default" w:ascii="Times New Roman" w:hAnsi="Times New Roman" w:eastAsia="宋体" w:cs="宋体"/>
                <w:b w:val="0"/>
                <w:bCs w:val="0"/>
                <w:i w:val="0"/>
                <w:iCs w:val="0"/>
                <w:color w:val="000000"/>
                <w:kern w:val="0"/>
                <w:sz w:val="18"/>
                <w:szCs w:val="18"/>
                <w:u w:val="none"/>
                <w:lang w:val="en-US" w:eastAsia="zh-CN" w:bidi="ar"/>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形势与政策II</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0.25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形势与政策III</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0.25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形势与政策IV</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0.25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形势与政策（专题）</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0.25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军训Ⅱ</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90</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90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学生</w:t>
            </w:r>
          </w:p>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工作处</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军事理论</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E</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学生</w:t>
            </w:r>
          </w:p>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工作处</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劳动教育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E</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学生</w:t>
            </w:r>
          </w:p>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工作处</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14501184009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思想道德与法治</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14501184010</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思想政治理论课</w:t>
            </w:r>
          </w:p>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实践教学</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铸牢中华民族</w:t>
            </w:r>
          </w:p>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共同体意识</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基    础    课</w:t>
            </w:r>
          </w:p>
        </w:tc>
        <w:tc>
          <w:tcPr>
            <w:tcW w:w="136" w:type="pct"/>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必    修    课</w:t>
            </w: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习近平新时代中国特色社会主义思想概论</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48</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毛泽东思想和中国特色社会主义理论体系概论</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职业发展与就业指导</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高职英语Ⅰ</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20</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高职英语Ⅱ</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20</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信息技术Ⅰ（高职）</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信息技术Ⅱ（高职）</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14501184019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高职实用语文Ⅰ</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14501184020</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高职实用语文Ⅱ</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体育与健康Ⅰ</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体育与健康Ⅱ</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高职数学Ⅰ</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136" w:type="pct"/>
            <w:vMerge w:val="restart"/>
            <w:vAlign w:val="center"/>
          </w:tcPr>
          <w:p>
            <w:pPr>
              <w:pStyle w:val="14"/>
              <w:jc w:val="center"/>
              <w:outlineLvl w:val="1"/>
              <w:rPr>
                <w:rFonts w:hint="default" w:ascii="楷体_GB2312" w:hAnsi="楷体_GB2312" w:eastAsia="楷体_GB2312" w:cs="楷体_GB2312"/>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公共必修课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高职数学Ⅱ</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心理健康教育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学生</w:t>
            </w:r>
          </w:p>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工作处</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大学生安全教育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14501184027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创新与创业教育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24</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750" w:type="pct"/>
            <w:gridSpan w:val="6"/>
            <w:vAlign w:val="center"/>
          </w:tcPr>
          <w:p>
            <w:pPr>
              <w:widowControl/>
              <w:jc w:val="center"/>
              <w:textAlignment w:val="center"/>
              <w:outlineLvl w:val="9"/>
              <w:rPr>
                <w:rFonts w:hint="eastAsia" w:ascii="楷体_GB2312" w:hAnsi="楷体_GB2312" w:eastAsia="楷体_GB2312" w:cs="楷体_GB2312"/>
                <w:b w:val="0"/>
                <w:bCs/>
                <w:color w:val="000000" w:themeColor="text1"/>
                <w:spacing w:val="0"/>
                <w:w w:val="100"/>
                <w:sz w:val="28"/>
                <w:szCs w:val="28"/>
                <w:vertAlign w:val="baseline"/>
                <w14:textFill>
                  <w14:solidFill>
                    <w14:schemeClr w14:val="tx1"/>
                  </w14:solidFill>
                </w14:textFill>
              </w:rPr>
            </w:pPr>
            <w:r>
              <w:rPr>
                <w:rFonts w:hint="eastAsia" w:ascii="宋体" w:hAnsi="宋体" w:eastAsia="宋体" w:cs="宋体"/>
                <w:bCs/>
                <w:color w:val="000000" w:themeColor="text1"/>
                <w:spacing w:val="0"/>
                <w:w w:val="100"/>
                <w:kern w:val="0"/>
                <w:sz w:val="21"/>
                <w:szCs w:val="21"/>
                <w:lang w:val="en-US" w:eastAsia="zh-CN" w:bidi="ar-SA"/>
                <w14:textFill>
                  <w14:solidFill>
                    <w14:schemeClr w14:val="tx1"/>
                  </w14:solidFill>
                </w14:textFill>
              </w:rPr>
              <w:t>公共必修课小计</w:t>
            </w:r>
          </w:p>
        </w:tc>
        <w:tc>
          <w:tcPr>
            <w:tcW w:w="202" w:type="pct"/>
            <w:gridSpan w:val="2"/>
            <w:vAlign w:val="center"/>
          </w:tcPr>
          <w:p>
            <w:pPr>
              <w:widowControl/>
              <w:jc w:val="center"/>
              <w:textAlignment w:val="center"/>
              <w:outlineLvl w:val="9"/>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t>42</w:t>
            </w:r>
          </w:p>
        </w:tc>
        <w:tc>
          <w:tcPr>
            <w:tcW w:w="203" w:type="pct"/>
            <w:tcFitText/>
            <w:vAlign w:val="center"/>
          </w:tcPr>
          <w:p>
            <w:pPr>
              <w:widowControl/>
              <w:jc w:val="center"/>
              <w:textAlignment w:val="center"/>
              <w:outlineLvl w:val="9"/>
              <w:rPr>
                <w:rFonts w:hint="default" w:ascii="宋体" w:hAnsi="宋体" w:eastAsia="宋体" w:cs="宋体"/>
                <w:b/>
                <w:bCs/>
                <w:color w:val="000000" w:themeColor="text1"/>
                <w:spacing w:val="0"/>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pacing w:val="19"/>
                <w:w w:val="98"/>
                <w:kern w:val="0"/>
                <w:sz w:val="21"/>
                <w:szCs w:val="21"/>
                <w:highlight w:val="none"/>
                <w:lang w:val="en-US" w:eastAsia="zh-CN"/>
                <w14:textFill>
                  <w14:solidFill>
                    <w14:schemeClr w14:val="tx1"/>
                  </w14:solidFill>
                </w14:textFill>
              </w:rPr>
              <w:t>70</w:t>
            </w:r>
            <w:r>
              <w:rPr>
                <w:rFonts w:hint="eastAsia" w:ascii="宋体" w:hAnsi="宋体" w:eastAsia="宋体" w:cs="宋体"/>
                <w:b/>
                <w:bCs/>
                <w:color w:val="000000" w:themeColor="text1"/>
                <w:spacing w:val="0"/>
                <w:w w:val="98"/>
                <w:kern w:val="0"/>
                <w:sz w:val="21"/>
                <w:szCs w:val="21"/>
                <w:highlight w:val="none"/>
                <w:lang w:val="en-US" w:eastAsia="zh-CN"/>
                <w14:textFill>
                  <w14:solidFill>
                    <w14:schemeClr w14:val="tx1"/>
                  </w14:solidFill>
                </w14:textFill>
              </w:rPr>
              <w:t>2</w:t>
            </w:r>
          </w:p>
        </w:tc>
        <w:tc>
          <w:tcPr>
            <w:tcW w:w="213" w:type="pct"/>
            <w:tcFitText/>
            <w:vAlign w:val="center"/>
          </w:tcPr>
          <w:p>
            <w:pPr>
              <w:widowControl/>
              <w:jc w:val="center"/>
              <w:textAlignment w:val="center"/>
              <w:outlineLvl w:val="9"/>
              <w:rPr>
                <w:rFonts w:hint="default" w:ascii="宋体" w:hAnsi="宋体" w:eastAsia="宋体" w:cs="宋体"/>
                <w:b/>
                <w:bCs/>
                <w:color w:val="000000" w:themeColor="text1"/>
                <w:spacing w:val="0"/>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pacing w:val="41"/>
                <w:w w:val="93"/>
                <w:kern w:val="0"/>
                <w:sz w:val="21"/>
                <w:szCs w:val="21"/>
                <w:highlight w:val="none"/>
                <w:lang w:val="en-US" w:eastAsia="zh-CN"/>
                <w14:textFill>
                  <w14:solidFill>
                    <w14:schemeClr w14:val="tx1"/>
                  </w14:solidFill>
                </w14:textFill>
              </w:rPr>
              <w:t>43</w:t>
            </w:r>
            <w:r>
              <w:rPr>
                <w:rFonts w:hint="eastAsia" w:ascii="宋体" w:hAnsi="宋体" w:eastAsia="宋体" w:cs="宋体"/>
                <w:b/>
                <w:bCs/>
                <w:color w:val="000000" w:themeColor="text1"/>
                <w:spacing w:val="0"/>
                <w:w w:val="93"/>
                <w:kern w:val="0"/>
                <w:sz w:val="21"/>
                <w:szCs w:val="21"/>
                <w:highlight w:val="none"/>
                <w:lang w:val="en-US" w:eastAsia="zh-CN"/>
                <w14:textFill>
                  <w14:solidFill>
                    <w14:schemeClr w14:val="tx1"/>
                  </w14:solidFill>
                </w14:textFill>
              </w:rPr>
              <w:t>0</w:t>
            </w:r>
          </w:p>
        </w:tc>
        <w:tc>
          <w:tcPr>
            <w:tcW w:w="197" w:type="pct"/>
            <w:tcFitText/>
            <w:vAlign w:val="center"/>
          </w:tcPr>
          <w:p>
            <w:pPr>
              <w:widowControl/>
              <w:jc w:val="center"/>
              <w:textAlignment w:val="center"/>
              <w:outlineLvl w:val="9"/>
              <w:rPr>
                <w:rFonts w:hint="default" w:ascii="宋体" w:hAnsi="宋体" w:eastAsia="宋体" w:cs="宋体"/>
                <w:b/>
                <w:bCs/>
                <w:color w:val="000000" w:themeColor="text1"/>
                <w:spacing w:val="0"/>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pacing w:val="19"/>
                <w:w w:val="93"/>
                <w:kern w:val="0"/>
                <w:sz w:val="21"/>
                <w:szCs w:val="21"/>
                <w:highlight w:val="none"/>
                <w:lang w:val="en-US" w:eastAsia="zh-CN"/>
                <w14:textFill>
                  <w14:solidFill>
                    <w14:schemeClr w14:val="tx1"/>
                  </w14:solidFill>
                </w14:textFill>
              </w:rPr>
              <w:t>27</w:t>
            </w:r>
            <w:r>
              <w:rPr>
                <w:rFonts w:hint="eastAsia" w:ascii="宋体" w:hAnsi="宋体" w:eastAsia="宋体" w:cs="宋体"/>
                <w:b/>
                <w:bCs/>
                <w:color w:val="000000" w:themeColor="text1"/>
                <w:spacing w:val="0"/>
                <w:w w:val="93"/>
                <w:kern w:val="0"/>
                <w:sz w:val="21"/>
                <w:szCs w:val="21"/>
                <w:highlight w:val="none"/>
                <w:lang w:val="en-US" w:eastAsia="zh-CN"/>
                <w14:textFill>
                  <w14:solidFill>
                    <w14:schemeClr w14:val="tx1"/>
                  </w14:solidFill>
                </w14:textFill>
              </w:rPr>
              <w:t>2</w:t>
            </w:r>
          </w:p>
        </w:tc>
        <w:tc>
          <w:tcPr>
            <w:tcW w:w="203" w:type="pct"/>
            <w:gridSpan w:val="2"/>
            <w:vAlign w:val="center"/>
          </w:tcPr>
          <w:p>
            <w:pPr>
              <w:widowControl/>
              <w:jc w:val="center"/>
              <w:textAlignment w:val="center"/>
              <w:outlineLvl w:val="9"/>
              <w:rPr>
                <w:rFonts w:hint="default" w:ascii="宋体" w:hAnsi="宋体" w:eastAsia="宋体" w:cs="宋体"/>
                <w:b/>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t>18</w:t>
            </w:r>
          </w:p>
        </w:tc>
        <w:tc>
          <w:tcPr>
            <w:tcW w:w="203" w:type="pct"/>
            <w:vAlign w:val="center"/>
          </w:tcPr>
          <w:p>
            <w:pPr>
              <w:widowControl/>
              <w:jc w:val="center"/>
              <w:textAlignment w:val="center"/>
              <w:outlineLvl w:val="9"/>
              <w:rPr>
                <w:rFonts w:hint="default" w:ascii="宋体" w:hAnsi="宋体" w:eastAsia="宋体" w:cs="宋体"/>
                <w:b/>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t>14</w:t>
            </w:r>
          </w:p>
        </w:tc>
        <w:tc>
          <w:tcPr>
            <w:tcW w:w="197" w:type="pct"/>
            <w:vAlign w:val="center"/>
          </w:tcPr>
          <w:p>
            <w:pPr>
              <w:widowControl/>
              <w:jc w:val="center"/>
              <w:textAlignment w:val="center"/>
              <w:outlineLvl w:val="9"/>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t>4</w:t>
            </w:r>
          </w:p>
        </w:tc>
        <w:tc>
          <w:tcPr>
            <w:tcW w:w="197" w:type="pct"/>
            <w:vAlign w:val="center"/>
          </w:tcPr>
          <w:p>
            <w:pPr>
              <w:widowControl/>
              <w:jc w:val="center"/>
              <w:textAlignment w:val="center"/>
              <w:outlineLvl w:val="9"/>
              <w:rPr>
                <w:rFonts w:hint="default" w:ascii="宋体" w:hAnsi="宋体" w:eastAsia="宋体" w:cs="宋体"/>
                <w:b/>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14:textFill>
                  <w14:solidFill>
                    <w14:schemeClr w14:val="tx1"/>
                  </w14:solidFill>
                </w14:textFill>
              </w:rPr>
              <w:t>1</w:t>
            </w:r>
          </w:p>
        </w:tc>
        <w:tc>
          <w:tcPr>
            <w:tcW w:w="203" w:type="pct"/>
            <w:gridSpan w:val="2"/>
            <w:vAlign w:val="center"/>
          </w:tcPr>
          <w:p>
            <w:pPr>
              <w:widowControl/>
              <w:jc w:val="center"/>
              <w:textAlignment w:val="center"/>
              <w:outlineLvl w:val="9"/>
              <w:rPr>
                <w:rFonts w:hint="eastAsia" w:ascii="宋体" w:hAnsi="宋体" w:eastAsia="宋体" w:cs="宋体"/>
                <w:b/>
                <w:bCs/>
                <w:color w:val="000000" w:themeColor="text1"/>
                <w:spacing w:val="0"/>
                <w:w w:val="100"/>
                <w:kern w:val="0"/>
                <w:sz w:val="21"/>
                <w:szCs w:val="21"/>
                <w:highlight w:val="none"/>
                <w:lang w:val="en-US" w:eastAsia="zh-CN" w:bidi="ar-SA"/>
                <w14:textFill>
                  <w14:solidFill>
                    <w14:schemeClr w14:val="tx1"/>
                  </w14:solidFill>
                </w14:textFill>
              </w:rPr>
            </w:pPr>
          </w:p>
        </w:tc>
        <w:tc>
          <w:tcPr>
            <w:tcW w:w="207" w:type="pct"/>
            <w:vAlign w:val="center"/>
          </w:tcPr>
          <w:p>
            <w:pPr>
              <w:widowControl/>
              <w:jc w:val="center"/>
              <w:textAlignment w:val="center"/>
              <w:outlineLvl w:val="9"/>
              <w:rPr>
                <w:rFonts w:hint="eastAsia" w:ascii="宋体" w:hAnsi="宋体" w:eastAsia="宋体" w:cs="宋体"/>
                <w:b/>
                <w:bCs/>
                <w:color w:val="000000" w:themeColor="text1"/>
                <w:spacing w:val="0"/>
                <w:w w:val="100"/>
                <w:kern w:val="0"/>
                <w:sz w:val="21"/>
                <w:szCs w:val="21"/>
                <w:highlight w:val="none"/>
                <w:lang w:val="en-US" w:eastAsia="zh-CN" w:bidi="ar-SA"/>
                <w14:textFill>
                  <w14:solidFill>
                    <w14:schemeClr w14:val="tx1"/>
                  </w14:solidFill>
                </w14:textFill>
              </w:rPr>
            </w:pPr>
          </w:p>
        </w:tc>
        <w:tc>
          <w:tcPr>
            <w:tcW w:w="182" w:type="pct"/>
            <w:tcFitTex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05"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党史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Merge w:val="restar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新中国史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改革开放史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社会主义发展史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马克思主义教学部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急救与自救（网）</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restar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中华优秀传统文化（网）</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大学生劳动就业法律问题解读（网）</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0.5</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136"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国防安全教育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14501185009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节能减排</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14501185010</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应用文写作</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唐诗宋词鉴赏</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礼仪素养</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普通话</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社交礼仪</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市场营销</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高职数学（拓展）</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高职实用语文（拓展）</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高职英语（拓展）</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14501185019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信息技术（拓展）</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vAlign w:val="center"/>
          </w:tcPr>
          <w:p>
            <w:pPr>
              <w:pStyle w:val="1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136"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14501185020</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思想政治理论（拓展）</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音乐欣赏</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restar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书画艺术欣赏</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舞蹈</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书法</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体育（足球）</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restar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体育（篮球）</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体育（羽毛球）</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体育（乒乓球）</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14501185029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体育（排球）</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14501185030</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健美操</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w:t>
            </w: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基础部</w:t>
            </w:r>
          </w:p>
        </w:tc>
        <w:tc>
          <w:tcPr>
            <w:tcW w:w="305" w:type="pct"/>
            <w:vMerge w:val="continue"/>
            <w:vAlign w:val="center"/>
          </w:tcPr>
          <w:p>
            <w:pPr>
              <w:pStyle w:val="14"/>
              <w:jc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750" w:type="pct"/>
            <w:gridSpan w:val="6"/>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公共选修课小计</w:t>
            </w:r>
          </w:p>
        </w:tc>
        <w:tc>
          <w:tcPr>
            <w:tcW w:w="202" w:type="pct"/>
            <w:gridSpan w:val="2"/>
            <w:vAlign w:val="center"/>
          </w:tcPr>
          <w:p>
            <w:pPr>
              <w:jc w:val="center"/>
              <w:textAlignment w:val="center"/>
              <w:outlineLvl w:val="9"/>
              <w:rPr>
                <w:rFonts w:hint="default"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6</w:t>
            </w:r>
          </w:p>
        </w:tc>
        <w:tc>
          <w:tcPr>
            <w:tcW w:w="203" w:type="pct"/>
            <w:vAlign w:val="center"/>
          </w:tcPr>
          <w:p>
            <w:pPr>
              <w:jc w:val="center"/>
              <w:textAlignment w:val="center"/>
              <w:outlineLvl w:val="9"/>
              <w:rPr>
                <w:rFonts w:hint="default"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96</w:t>
            </w:r>
          </w:p>
        </w:tc>
        <w:tc>
          <w:tcPr>
            <w:tcW w:w="213" w:type="pct"/>
            <w:vAlign w:val="center"/>
          </w:tcPr>
          <w:p>
            <w:pPr>
              <w:jc w:val="center"/>
              <w:textAlignment w:val="center"/>
              <w:outlineLvl w:val="9"/>
              <w:rPr>
                <w:rFonts w:hint="default"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64</w:t>
            </w:r>
          </w:p>
        </w:tc>
        <w:tc>
          <w:tcPr>
            <w:tcW w:w="197" w:type="pct"/>
            <w:vAlign w:val="center"/>
          </w:tcPr>
          <w:p>
            <w:pPr>
              <w:jc w:val="center"/>
              <w:textAlignment w:val="center"/>
              <w:outlineLvl w:val="9"/>
              <w:rPr>
                <w:rFonts w:hint="default"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32</w:t>
            </w:r>
          </w:p>
        </w:tc>
        <w:tc>
          <w:tcPr>
            <w:tcW w:w="203" w:type="pct"/>
            <w:gridSpan w:val="2"/>
            <w:vAlign w:val="center"/>
          </w:tcPr>
          <w:p>
            <w:pPr>
              <w:jc w:val="center"/>
              <w:textAlignment w:val="center"/>
              <w:outlineLvl w:val="9"/>
              <w:rPr>
                <w:rFonts w:hint="eastAsia" w:ascii="宋体" w:hAnsi="宋体" w:eastAsia="宋体" w:cs="宋体"/>
                <w:b/>
                <w:bCs w:val="0"/>
                <w:color w:val="000000" w:themeColor="text1"/>
                <w:kern w:val="0"/>
                <w:sz w:val="21"/>
                <w:szCs w:val="21"/>
                <w:lang w:val="en-US" w:eastAsia="zh-CN"/>
                <w14:textFill>
                  <w14:solidFill>
                    <w14:schemeClr w14:val="tx1"/>
                  </w14:solidFill>
                </w14:textFill>
              </w:rPr>
            </w:pPr>
          </w:p>
        </w:tc>
        <w:tc>
          <w:tcPr>
            <w:tcW w:w="203" w:type="pct"/>
            <w:vAlign w:val="center"/>
          </w:tcPr>
          <w:p>
            <w:pPr>
              <w:jc w:val="center"/>
              <w:textAlignment w:val="center"/>
              <w:outlineLvl w:val="9"/>
              <w:rPr>
                <w:rFonts w:hint="default"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1.5</w:t>
            </w:r>
          </w:p>
        </w:tc>
        <w:tc>
          <w:tcPr>
            <w:tcW w:w="197" w:type="pct"/>
            <w:vAlign w:val="center"/>
          </w:tcPr>
          <w:p>
            <w:pPr>
              <w:jc w:val="center"/>
              <w:textAlignment w:val="center"/>
              <w:outlineLvl w:val="9"/>
              <w:rPr>
                <w:rFonts w:hint="eastAsia"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1.5</w:t>
            </w:r>
          </w:p>
        </w:tc>
        <w:tc>
          <w:tcPr>
            <w:tcW w:w="197" w:type="pct"/>
            <w:vAlign w:val="center"/>
          </w:tcPr>
          <w:p>
            <w:pPr>
              <w:jc w:val="center"/>
              <w:textAlignment w:val="center"/>
              <w:outlineLvl w:val="9"/>
              <w:rPr>
                <w:rFonts w:hint="eastAsia"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2</w:t>
            </w:r>
          </w:p>
        </w:tc>
        <w:tc>
          <w:tcPr>
            <w:tcW w:w="203" w:type="pct"/>
            <w:gridSpan w:val="2"/>
            <w:vAlign w:val="center"/>
          </w:tcPr>
          <w:p>
            <w:pPr>
              <w:jc w:val="center"/>
              <w:textAlignment w:val="center"/>
              <w:outlineLvl w:val="9"/>
              <w:rPr>
                <w:rFonts w:hint="eastAsia" w:ascii="宋体" w:hAnsi="宋体" w:eastAsia="宋体" w:cs="宋体"/>
                <w:b/>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bCs w:val="0"/>
                <w:color w:val="000000" w:themeColor="text1"/>
                <w:kern w:val="0"/>
                <w:sz w:val="21"/>
                <w:szCs w:val="21"/>
                <w:lang w:val="en-US" w:eastAsia="zh-CN"/>
                <w14:textFill>
                  <w14:solidFill>
                    <w14:schemeClr w14:val="tx1"/>
                  </w14:solidFill>
                </w14:textFill>
              </w:rPr>
              <w:t>1</w:t>
            </w:r>
          </w:p>
        </w:tc>
        <w:tc>
          <w:tcPr>
            <w:tcW w:w="207" w:type="pct"/>
            <w:vAlign w:val="center"/>
          </w:tcPr>
          <w:p>
            <w:pPr>
              <w:jc w:val="center"/>
              <w:textAlignment w:val="center"/>
              <w:outlineLvl w:val="9"/>
              <w:rPr>
                <w:rFonts w:hint="eastAsia" w:ascii="宋体" w:hAnsi="宋体" w:eastAsia="宋体" w:cs="宋体"/>
                <w:b/>
                <w:bCs w:val="0"/>
                <w:color w:val="000000" w:themeColor="text1"/>
                <w:kern w:val="0"/>
                <w:sz w:val="21"/>
                <w:szCs w:val="21"/>
                <w:lang w:val="en-US" w:eastAsia="zh-CN"/>
                <w14:textFill>
                  <w14:solidFill>
                    <w14:schemeClr w14:val="tx1"/>
                  </w14:solidFill>
                </w14:textFill>
              </w:rPr>
            </w:pPr>
          </w:p>
        </w:tc>
        <w:tc>
          <w:tcPr>
            <w:tcW w:w="182" w:type="pc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pct"/>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14:textFill>
                  <w14:solidFill>
                    <w14:schemeClr w14:val="tx1"/>
                  </w14:solidFill>
                </w14:textFill>
              </w:rPr>
            </w:pPr>
          </w:p>
        </w:tc>
        <w:tc>
          <w:tcPr>
            <w:tcW w:w="305"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textDirection w:val="tbLrV"/>
            <w:vAlign w:val="center"/>
          </w:tcPr>
          <w:p>
            <w:pPr>
              <w:pStyle w:val="14"/>
              <w:ind w:left="113" w:right="113"/>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  业 （技  能） 课</w:t>
            </w:r>
          </w:p>
        </w:tc>
        <w:tc>
          <w:tcPr>
            <w:tcW w:w="136"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专业必修</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植物生产与环境</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cs="宋体"/>
                <w:b w:val="0"/>
                <w:bCs w:val="0"/>
                <w:color w:val="000000" w:themeColor="text1"/>
                <w:kern w:val="0"/>
                <w:sz w:val="21"/>
                <w:szCs w:val="21"/>
                <w:lang w:val="en-US" w:eastAsia="zh-CN" w:bidi="ar-SA"/>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设施作物栽培</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1"/>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203" w:type="pct"/>
            <w:vAlign w:val="center"/>
          </w:tcPr>
          <w:p>
            <w:pPr>
              <w:pStyle w:val="14"/>
              <w:jc w:val="center"/>
              <w:outlineLvl w:val="9"/>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作物病虫害防治</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1"/>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工程制图</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9"/>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1"/>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电子电工技术</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农业物联网概论</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程序设计基础</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设施农业生产技术</w:t>
            </w:r>
            <w:r>
              <w:rPr>
                <w:rStyle w:val="9"/>
                <w:rFonts w:hint="eastAsia" w:ascii="Times New Roman" w:hAnsi="Times New Roman" w:eastAsia="宋体" w:cs="微软雅黑"/>
                <w:sz w:val="18"/>
                <w:szCs w:val="15"/>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97" w:type="pct"/>
            <w:vAlign w:val="center"/>
          </w:tcPr>
          <w:p>
            <w:pPr>
              <w:pStyle w:val="14"/>
              <w:jc w:val="center"/>
              <w:outlineLvl w:val="9"/>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203" w:type="pct"/>
            <w:gridSpan w:val="2"/>
            <w:vAlign w:val="center"/>
          </w:tcPr>
          <w:p>
            <w:pPr>
              <w:pStyle w:val="14"/>
              <w:jc w:val="center"/>
              <w:outlineLvl w:val="1"/>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14501131609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农业机械使用技术</w:t>
            </w:r>
            <w:r>
              <w:rPr>
                <w:rStyle w:val="9"/>
                <w:rFonts w:hint="eastAsia" w:ascii="Times New Roman" w:hAnsi="Times New Roman" w:eastAsia="宋体" w:cs="微软雅黑"/>
                <w:sz w:val="18"/>
                <w:szCs w:val="15"/>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14501131610</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农机维护与维修</w:t>
            </w:r>
            <w:r>
              <w:rPr>
                <w:rStyle w:val="9"/>
                <w:rFonts w:hint="eastAsia" w:ascii="Times New Roman" w:hAnsi="Times New Roman" w:eastAsia="宋体" w:cs="微软雅黑"/>
                <w:sz w:val="18"/>
                <w:szCs w:val="15"/>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97" w:type="pct"/>
            <w:vAlign w:val="center"/>
          </w:tcPr>
          <w:p>
            <w:pPr>
              <w:pStyle w:val="14"/>
              <w:jc w:val="center"/>
              <w:outlineLvl w:val="9"/>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14501131611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传感器及检测技术</w:t>
            </w:r>
            <w:r>
              <w:rPr>
                <w:rStyle w:val="9"/>
                <w:rFonts w:hint="eastAsia" w:ascii="Times New Roman" w:hAnsi="Times New Roman" w:eastAsia="宋体" w:cs="微软雅黑"/>
                <w:sz w:val="18"/>
                <w:szCs w:val="15"/>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jc w:val="center"/>
              <w:textAlignment w:val="center"/>
              <w:outlineLvl w:val="9"/>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2"/>
                <w:sz w:val="18"/>
                <w:szCs w:val="18"/>
                <w:u w:val="none"/>
                <w:lang w:val="en-US" w:eastAsia="zh-CN" w:bidi="ar-SA"/>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3"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9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p>
        </w:tc>
        <w:tc>
          <w:tcPr>
            <w:tcW w:w="197"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4</w:t>
            </w:r>
          </w:p>
        </w:tc>
        <w:tc>
          <w:tcPr>
            <w:tcW w:w="203" w:type="pct"/>
            <w:gridSpan w:val="2"/>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207"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c>
          <w:tcPr>
            <w:tcW w:w="182" w:type="pct"/>
            <w:vAlign w:val="center"/>
          </w:tcPr>
          <w:p>
            <w:pPr>
              <w:pStyle w:val="14"/>
              <w:jc w:val="center"/>
              <w:outlineLvl w:val="1"/>
              <w:rPr>
                <w:rFonts w:hint="default"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z w:val="18"/>
                <w:szCs w:val="18"/>
                <w:vertAlign w:val="baseline"/>
                <w:lang w:val="en-US" w:eastAsia="zh-CN"/>
                <w14:textFill>
                  <w14:solidFill>
                    <w14:schemeClr w14:val="tx1"/>
                  </w14:solidFill>
                </w14:textFill>
              </w:rPr>
              <w:t>B</w:t>
            </w:r>
          </w:p>
        </w:tc>
        <w:tc>
          <w:tcPr>
            <w:tcW w:w="583" w:type="pct"/>
            <w:vAlign w:val="center"/>
          </w:tcPr>
          <w:p>
            <w:pPr>
              <w:pStyle w:val="14"/>
              <w:jc w:val="center"/>
              <w:outlineLvl w:val="1"/>
              <w:rPr>
                <w:rFonts w:hint="eastAsia" w:ascii="Times New Roman" w:hAnsi="Times New Roman" w:eastAsia="宋体" w:cs="宋体"/>
                <w:b w:val="0"/>
                <w:bCs w:val="0"/>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highlight w:val="none"/>
                <w:lang w:val="en-US" w:eastAsia="zh-CN"/>
                <w14:textFill>
                  <w14:solidFill>
                    <w14:schemeClr w14:val="tx1"/>
                  </w14:solidFill>
                </w14:textFill>
              </w:rPr>
              <w:t>生态工程系</w:t>
            </w:r>
          </w:p>
        </w:tc>
        <w:tc>
          <w:tcPr>
            <w:tcW w:w="305" w:type="pct"/>
            <w:vAlign w:val="center"/>
          </w:tcPr>
          <w:p>
            <w:pPr>
              <w:pStyle w:val="14"/>
              <w:jc w:val="center"/>
              <w:outlineLvl w:val="9"/>
              <w:rPr>
                <w:rFonts w:hint="eastAsia" w:ascii="Times New Roman" w:hAnsi="Times New Roman" w:eastAsia="宋体" w:cs="宋体"/>
                <w:b w:val="0"/>
                <w:bCs w:val="0"/>
                <w:color w:val="000000" w:themeColor="text1"/>
                <w:sz w:val="18"/>
                <w:szCs w:val="1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14501131612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无线传感网络技术</w:t>
            </w:r>
            <w:r>
              <w:rPr>
                <w:rStyle w:val="9"/>
                <w:rFonts w:hint="eastAsia" w:ascii="Times New Roman" w:hAnsi="Times New Roman" w:eastAsia="宋体" w:cs="微软雅黑"/>
                <w:sz w:val="18"/>
                <w:szCs w:val="15"/>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14501131613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农业物联网工程设计及实施</w:t>
            </w:r>
            <w:r>
              <w:rPr>
                <w:rStyle w:val="9"/>
                <w:rFonts w:hint="eastAsia" w:ascii="Times New Roman" w:hAnsi="Times New Roman" w:eastAsia="宋体" w:cs="微软雅黑"/>
                <w:sz w:val="18"/>
                <w:szCs w:val="15"/>
                <w:lang w:val="en-US" w:eastAsia="zh-CN" w:bidi="ar"/>
              </w:rPr>
              <w:t>★</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5"/>
                <w:u w:val="none"/>
                <w:lang w:val="en-US" w:eastAsia="zh-CN" w:bidi="ar-SA"/>
              </w:rPr>
            </w:pPr>
            <w:r>
              <w:rPr>
                <w:rFonts w:hint="eastAsia" w:ascii="Times New Roman" w:hAnsi="Times New Roman" w:eastAsia="宋体" w:cs="Times New Roman"/>
                <w:i w:val="0"/>
                <w:iCs w:val="0"/>
                <w:color w:val="000000"/>
                <w:kern w:val="0"/>
                <w:sz w:val="18"/>
                <w:szCs w:val="15"/>
                <w:u w:val="none"/>
                <w:lang w:val="en-US" w:eastAsia="zh-CN" w:bidi="ar"/>
              </w:rPr>
              <w:t>14501131614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Style w:val="9"/>
                <w:rFonts w:hint="eastAsia" w:ascii="Times New Roman" w:hAnsi="Times New Roman" w:eastAsia="宋体"/>
                <w:sz w:val="18"/>
                <w:szCs w:val="15"/>
                <w:lang w:val="en-US" w:eastAsia="zh-CN" w:bidi="ar"/>
              </w:rPr>
              <w:t>设施运营概预算</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等线"/>
                <w:i w:val="0"/>
                <w:iCs w:val="0"/>
                <w:color w:val="000000"/>
                <w:kern w:val="2"/>
                <w:sz w:val="18"/>
                <w:szCs w:val="15"/>
                <w:u w:val="none"/>
                <w:lang w:val="en-US" w:eastAsia="zh-CN" w:bidi="ar-SA"/>
              </w:rPr>
            </w:pPr>
            <w:r>
              <w:rPr>
                <w:rFonts w:hint="eastAsia" w:ascii="Times New Roman" w:hAnsi="Times New Roman" w:eastAsia="宋体" w:cs="等线"/>
                <w:i w:val="0"/>
                <w:iCs w:val="0"/>
                <w:color w:val="000000"/>
                <w:kern w:val="0"/>
                <w:sz w:val="18"/>
                <w:szCs w:val="15"/>
                <w:u w:val="none"/>
                <w:lang w:val="en-US" w:eastAsia="zh-CN" w:bidi="ar"/>
              </w:rPr>
              <w:t>B</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4</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64</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2"/>
                <w:sz w:val="18"/>
                <w:szCs w:val="18"/>
                <w:u w:val="none"/>
                <w:lang w:val="en-US" w:eastAsia="zh-CN" w:bidi="ar-SA"/>
              </w:rPr>
              <w:t>32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B</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5"/>
                <w:u w:val="none"/>
                <w:lang w:val="en-US" w:eastAsia="zh-CN" w:bidi="ar"/>
              </w:rPr>
              <w:t>14501131615</w:t>
            </w:r>
          </w:p>
        </w:tc>
        <w:tc>
          <w:tcPr>
            <w:tcW w:w="6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顶岗实习</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30</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720</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0</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720</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720</w:t>
            </w: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D</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305" w:type="pct"/>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p>
        </w:tc>
        <w:tc>
          <w:tcPr>
            <w:tcW w:w="1750" w:type="pct"/>
            <w:gridSpan w:val="6"/>
            <w:vAlign w:val="center"/>
          </w:tcPr>
          <w:p>
            <w:pPr>
              <w:jc w:val="center"/>
              <w:textAlignment w:val="center"/>
              <w:outlineLvl w:val="9"/>
              <w:rPr>
                <w:rFonts w:hint="eastAsia" w:ascii="Times New Roman" w:hAnsi="Times New Roman" w:eastAsia="宋体" w:cs="宋体"/>
                <w:bCs/>
                <w:color w:val="000000" w:themeColor="text1"/>
                <w:kern w:val="0"/>
                <w:sz w:val="18"/>
                <w:szCs w:val="21"/>
                <w14:textFill>
                  <w14:solidFill>
                    <w14:schemeClr w14:val="tx1"/>
                  </w14:solidFill>
                </w14:textFill>
              </w:rPr>
            </w:pPr>
            <w:r>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t>专业必修课小计</w:t>
            </w: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86</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1616</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448</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1168</w:t>
            </w:r>
          </w:p>
        </w:tc>
        <w:tc>
          <w:tcPr>
            <w:tcW w:w="203" w:type="pct"/>
            <w:gridSpan w:val="2"/>
            <w:vAlign w:val="center"/>
          </w:tcPr>
          <w:p>
            <w:pPr>
              <w:jc w:val="center"/>
              <w:textAlignment w:val="center"/>
              <w:outlineLvl w:val="9"/>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8</w:t>
            </w:r>
          </w:p>
        </w:tc>
        <w:tc>
          <w:tcPr>
            <w:tcW w:w="203" w:type="pct"/>
            <w:vAlign w:val="center"/>
          </w:tcPr>
          <w:p>
            <w:pPr>
              <w:jc w:val="center"/>
              <w:textAlignment w:val="center"/>
              <w:outlineLvl w:val="9"/>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8</w:t>
            </w:r>
          </w:p>
        </w:tc>
        <w:tc>
          <w:tcPr>
            <w:tcW w:w="197" w:type="pct"/>
            <w:vAlign w:val="center"/>
          </w:tcPr>
          <w:p>
            <w:pPr>
              <w:jc w:val="center"/>
              <w:textAlignment w:val="center"/>
              <w:outlineLvl w:val="9"/>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12</w:t>
            </w:r>
          </w:p>
        </w:tc>
        <w:tc>
          <w:tcPr>
            <w:tcW w:w="197" w:type="pct"/>
            <w:vAlign w:val="center"/>
          </w:tcPr>
          <w:p>
            <w:pPr>
              <w:jc w:val="center"/>
              <w:textAlignment w:val="center"/>
              <w:outlineLvl w:val="9"/>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12</w:t>
            </w:r>
          </w:p>
        </w:tc>
        <w:tc>
          <w:tcPr>
            <w:tcW w:w="203" w:type="pct"/>
            <w:gridSpan w:val="2"/>
            <w:vAlign w:val="center"/>
          </w:tcPr>
          <w:p>
            <w:pPr>
              <w:jc w:val="center"/>
              <w:textAlignment w:val="center"/>
              <w:outlineLvl w:val="9"/>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16</w:t>
            </w:r>
          </w:p>
        </w:tc>
        <w:tc>
          <w:tcPr>
            <w:tcW w:w="207" w:type="pct"/>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p>
        </w:tc>
        <w:tc>
          <w:tcPr>
            <w:tcW w:w="182" w:type="pct"/>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p>
        </w:tc>
        <w:tc>
          <w:tcPr>
            <w:tcW w:w="583"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05"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restart"/>
            <w:textDirection w:val="tbRlV"/>
            <w:vAlign w:val="center"/>
          </w:tcPr>
          <w:p>
            <w:pPr>
              <w:pStyle w:val="14"/>
              <w:ind w:left="113" w:right="113"/>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  业 （技  能） 课</w:t>
            </w:r>
          </w:p>
        </w:tc>
        <w:tc>
          <w:tcPr>
            <w:tcW w:w="136" w:type="pct"/>
            <w:vMerge w:val="restart"/>
            <w:vAlign w:val="center"/>
          </w:tcPr>
          <w:p>
            <w:pPr>
              <w:pStyle w:val="1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color w:val="000000" w:themeColor="text1"/>
                <w:sz w:val="21"/>
                <w:szCs w:val="21"/>
                <w:vertAlign w:val="baseline"/>
                <w:lang w:val="en-US" w:eastAsia="zh-CN"/>
                <w14:textFill>
                  <w14:solidFill>
                    <w14:schemeClr w14:val="tx1"/>
                  </w14:solidFill>
                </w14:textFill>
              </w:rPr>
              <w:t>专业</w:t>
            </w: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选修课</w:t>
            </w: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14501132601</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种苗繁育</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14501132602</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Style w:val="9"/>
                <w:rFonts w:hint="eastAsia" w:ascii="Times New Roman" w:hAnsi="Times New Roman" w:eastAsia="宋体"/>
                <w:sz w:val="18"/>
                <w:szCs w:val="15"/>
                <w:lang w:val="en-US" w:eastAsia="zh-CN" w:bidi="ar"/>
              </w:rPr>
              <w:t>农用机器人操作</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14501132603</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Style w:val="9"/>
                <w:rFonts w:hint="eastAsia" w:ascii="Times New Roman" w:hAnsi="Times New Roman" w:eastAsia="宋体"/>
                <w:sz w:val="18"/>
                <w:szCs w:val="15"/>
                <w:lang w:val="en-US" w:eastAsia="zh-CN" w:bidi="ar"/>
              </w:rPr>
              <w:t>无人机植保</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4</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14501132604</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企业经营管理</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5</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14501132605</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农机电器控制与PLC</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6</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14501132606</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kern w:val="0"/>
                <w:sz w:val="18"/>
                <w:szCs w:val="15"/>
                <w:u w:val="none"/>
                <w:lang w:val="en-US" w:eastAsia="zh-CN" w:bidi="ar"/>
              </w:rPr>
              <w:t>设施安全用电</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7</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14501132607</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kern w:val="2"/>
                <w:sz w:val="18"/>
                <w:szCs w:val="15"/>
                <w:u w:val="none"/>
                <w:lang w:val="en-US" w:eastAsia="zh-CN" w:bidi="ar-SA"/>
              </w:rPr>
            </w:pPr>
            <w:r>
              <w:rPr>
                <w:rFonts w:hint="eastAsia" w:ascii="Times New Roman" w:hAnsi="Times New Roman" w:eastAsia="宋体" w:cs="宋体"/>
                <w:i w:val="0"/>
                <w:iCs w:val="0"/>
                <w:color w:val="000000"/>
                <w:sz w:val="18"/>
                <w:szCs w:val="15"/>
                <w:u w:val="none"/>
                <w:lang w:val="en-US" w:eastAsia="zh-CN"/>
              </w:rPr>
              <w:t>市场营销</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A</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8</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14501132608</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农业技术推广</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9</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14501132609</w:t>
            </w:r>
          </w:p>
        </w:tc>
        <w:tc>
          <w:tcPr>
            <w:tcW w:w="6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节水灌溉工程</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6"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5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10</w:t>
            </w:r>
          </w:p>
        </w:tc>
        <w:tc>
          <w:tcPr>
            <w:tcW w:w="461"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14501132610</w:t>
            </w:r>
          </w:p>
        </w:tc>
        <w:tc>
          <w:tcPr>
            <w:tcW w:w="6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蔬菜生产技术</w:t>
            </w: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32</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16</w:t>
            </w:r>
          </w:p>
        </w:tc>
        <w:tc>
          <w:tcPr>
            <w:tcW w:w="203" w:type="pct"/>
            <w:gridSpan w:val="2"/>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9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2</w:t>
            </w:r>
          </w:p>
        </w:tc>
        <w:tc>
          <w:tcPr>
            <w:tcW w:w="207"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c>
          <w:tcPr>
            <w:tcW w:w="182" w:type="pct"/>
            <w:vAlign w:val="center"/>
          </w:tcPr>
          <w:p>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C</w:t>
            </w:r>
          </w:p>
        </w:tc>
        <w:tc>
          <w:tcPr>
            <w:tcW w:w="583"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生态工程系</w:t>
            </w:r>
          </w:p>
        </w:tc>
        <w:tc>
          <w:tcPr>
            <w:tcW w:w="305" w:type="pct"/>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49" w:type="pct"/>
            <w:vMerge w:val="continue"/>
            <w:vAlign w:val="center"/>
          </w:tcPr>
          <w:p>
            <w:pPr>
              <w:pStyle w:val="14"/>
              <w:jc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750" w:type="pct"/>
            <w:gridSpan w:val="6"/>
            <w:vAlign w:val="center"/>
          </w:tcPr>
          <w:p>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18"/>
                <w:szCs w:val="18"/>
                <w:u w:val="none"/>
                <w:lang w:val="en-US" w:eastAsia="zh-CN" w:bidi="ar"/>
              </w:rPr>
            </w:pPr>
            <w:r>
              <w:rPr>
                <w:rFonts w:hint="eastAsia" w:ascii="Times New Roman" w:hAnsi="Times New Roman" w:eastAsia="宋体" w:cs="宋体"/>
                <w:b w:val="0"/>
                <w:bCs w:val="0"/>
                <w:i w:val="0"/>
                <w:iCs w:val="0"/>
                <w:color w:val="000000"/>
                <w:kern w:val="0"/>
                <w:sz w:val="18"/>
                <w:szCs w:val="18"/>
                <w:u w:val="none"/>
                <w:lang w:val="en-US" w:eastAsia="zh-CN" w:bidi="ar"/>
              </w:rPr>
              <w:t>专业选修课小计</w:t>
            </w:r>
          </w:p>
        </w:tc>
        <w:tc>
          <w:tcPr>
            <w:tcW w:w="202" w:type="pct"/>
            <w:gridSpan w:val="2"/>
            <w:vAlign w:val="center"/>
          </w:tcPr>
          <w:p>
            <w:pPr>
              <w:keepNext w:val="0"/>
              <w:keepLines w:val="0"/>
              <w:widowControl/>
              <w:suppressLineNumbers w:val="0"/>
              <w:jc w:val="center"/>
              <w:textAlignment w:val="center"/>
              <w:rPr>
                <w:rFonts w:hint="default" w:ascii="Times New Roman" w:hAnsi="Times New Roman" w:eastAsia="宋体" w:cs="宋体"/>
                <w:b/>
                <w:bCs/>
                <w:i w:val="0"/>
                <w:iCs w:val="0"/>
                <w:color w:val="000000"/>
                <w:kern w:val="0"/>
                <w:sz w:val="18"/>
                <w:szCs w:val="18"/>
                <w:u w:val="none"/>
                <w:lang w:val="en-US" w:eastAsia="zh-CN" w:bidi="ar"/>
              </w:rPr>
            </w:pPr>
            <w:r>
              <w:rPr>
                <w:rFonts w:hint="eastAsia" w:ascii="Times New Roman" w:hAnsi="Times New Roman" w:eastAsia="宋体" w:cs="宋体"/>
                <w:b/>
                <w:bCs/>
                <w:i w:val="0"/>
                <w:iCs w:val="0"/>
                <w:color w:val="000000"/>
                <w:kern w:val="0"/>
                <w:sz w:val="18"/>
                <w:szCs w:val="18"/>
                <w:u w:val="none"/>
                <w:lang w:val="en-US" w:eastAsia="zh-CN" w:bidi="ar"/>
              </w:rPr>
              <w:t>16</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bCs/>
                <w:i w:val="0"/>
                <w:iCs w:val="0"/>
                <w:color w:val="000000"/>
                <w:kern w:val="0"/>
                <w:sz w:val="18"/>
                <w:szCs w:val="18"/>
                <w:u w:val="none"/>
                <w:lang w:val="en-US" w:eastAsia="zh-CN" w:bidi="ar"/>
              </w:rPr>
            </w:pPr>
            <w:r>
              <w:rPr>
                <w:rFonts w:hint="eastAsia" w:ascii="Times New Roman" w:hAnsi="Times New Roman" w:eastAsia="宋体" w:cs="宋体"/>
                <w:b/>
                <w:bCs/>
                <w:i w:val="0"/>
                <w:iCs w:val="0"/>
                <w:color w:val="000000"/>
                <w:kern w:val="0"/>
                <w:sz w:val="18"/>
                <w:szCs w:val="18"/>
                <w:u w:val="none"/>
                <w:lang w:val="en-US" w:eastAsia="zh-CN" w:bidi="ar"/>
              </w:rPr>
              <w:t>256</w:t>
            </w:r>
          </w:p>
        </w:tc>
        <w:tc>
          <w:tcPr>
            <w:tcW w:w="213" w:type="pct"/>
            <w:vAlign w:val="center"/>
          </w:tcPr>
          <w:p>
            <w:pPr>
              <w:keepNext w:val="0"/>
              <w:keepLines w:val="0"/>
              <w:widowControl/>
              <w:suppressLineNumbers w:val="0"/>
              <w:jc w:val="center"/>
              <w:textAlignment w:val="center"/>
              <w:rPr>
                <w:rFonts w:hint="default" w:ascii="Times New Roman" w:hAnsi="Times New Roman" w:eastAsia="宋体" w:cs="宋体"/>
                <w:b/>
                <w:bCs/>
                <w:i w:val="0"/>
                <w:iCs w:val="0"/>
                <w:color w:val="000000"/>
                <w:kern w:val="0"/>
                <w:sz w:val="18"/>
                <w:szCs w:val="18"/>
                <w:u w:val="none"/>
                <w:lang w:val="en-US" w:eastAsia="zh-CN" w:bidi="ar"/>
              </w:rPr>
            </w:pPr>
            <w:r>
              <w:rPr>
                <w:rFonts w:hint="eastAsia" w:ascii="Times New Roman" w:hAnsi="Times New Roman" w:eastAsia="宋体" w:cs="宋体"/>
                <w:b/>
                <w:bCs/>
                <w:i w:val="0"/>
                <w:iCs w:val="0"/>
                <w:color w:val="000000"/>
                <w:kern w:val="0"/>
                <w:sz w:val="18"/>
                <w:szCs w:val="18"/>
                <w:u w:val="none"/>
                <w:lang w:val="en-US" w:eastAsia="zh-CN" w:bidi="ar"/>
              </w:rPr>
              <w:t>128</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bCs/>
                <w:i w:val="0"/>
                <w:iCs w:val="0"/>
                <w:color w:val="000000"/>
                <w:kern w:val="0"/>
                <w:sz w:val="18"/>
                <w:szCs w:val="18"/>
                <w:u w:val="none"/>
                <w:lang w:val="en-US" w:eastAsia="zh-CN" w:bidi="ar"/>
              </w:rPr>
            </w:pPr>
            <w:r>
              <w:rPr>
                <w:rFonts w:hint="eastAsia" w:ascii="Times New Roman" w:hAnsi="Times New Roman" w:eastAsia="宋体" w:cs="宋体"/>
                <w:b/>
                <w:bCs/>
                <w:i w:val="0"/>
                <w:iCs w:val="0"/>
                <w:color w:val="000000"/>
                <w:kern w:val="0"/>
                <w:sz w:val="18"/>
                <w:szCs w:val="18"/>
                <w:u w:val="none"/>
                <w:lang w:val="en-US" w:eastAsia="zh-CN" w:bidi="ar"/>
              </w:rPr>
              <w:t>128</w:t>
            </w: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bCs/>
                <w:i w:val="0"/>
                <w:iCs w:val="0"/>
                <w:color w:val="000000"/>
                <w:kern w:val="0"/>
                <w:sz w:val="18"/>
                <w:szCs w:val="18"/>
                <w:u w:val="none"/>
                <w:lang w:val="en-US" w:eastAsia="zh-CN" w:bidi="ar"/>
              </w:rPr>
            </w:pPr>
          </w:p>
        </w:tc>
        <w:tc>
          <w:tcPr>
            <w:tcW w:w="203" w:type="pct"/>
            <w:vAlign w:val="center"/>
          </w:tcPr>
          <w:p>
            <w:pPr>
              <w:jc w:val="center"/>
              <w:textAlignment w:val="center"/>
              <w:outlineLvl w:val="9"/>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2</w:t>
            </w:r>
          </w:p>
        </w:tc>
        <w:tc>
          <w:tcPr>
            <w:tcW w:w="197" w:type="pct"/>
            <w:vAlign w:val="center"/>
          </w:tcPr>
          <w:p>
            <w:pPr>
              <w:jc w:val="center"/>
              <w:textAlignment w:val="center"/>
              <w:outlineLvl w:val="9"/>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6</w:t>
            </w:r>
          </w:p>
        </w:tc>
        <w:tc>
          <w:tcPr>
            <w:tcW w:w="197" w:type="pct"/>
            <w:vAlign w:val="center"/>
          </w:tcPr>
          <w:p>
            <w:pPr>
              <w:jc w:val="center"/>
              <w:textAlignment w:val="center"/>
              <w:outlineLvl w:val="9"/>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4</w:t>
            </w:r>
          </w:p>
        </w:tc>
        <w:tc>
          <w:tcPr>
            <w:tcW w:w="203" w:type="pct"/>
            <w:gridSpan w:val="2"/>
            <w:vAlign w:val="center"/>
          </w:tcPr>
          <w:p>
            <w:pPr>
              <w:jc w:val="center"/>
              <w:textAlignment w:val="center"/>
              <w:outlineLvl w:val="9"/>
              <w:rPr>
                <w:rFonts w:hint="default" w:ascii="Times New Roman" w:hAnsi="Times New Roman" w:eastAsia="宋体" w:cs="宋体"/>
                <w:b/>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color w:val="000000" w:themeColor="text1"/>
                <w:kern w:val="0"/>
                <w:sz w:val="18"/>
                <w:szCs w:val="21"/>
                <w:lang w:val="en-US" w:eastAsia="zh-CN"/>
                <w14:textFill>
                  <w14:solidFill>
                    <w14:schemeClr w14:val="tx1"/>
                  </w14:solidFill>
                </w14:textFill>
              </w:rPr>
              <w:t>4</w:t>
            </w:r>
          </w:p>
        </w:tc>
        <w:tc>
          <w:tcPr>
            <w:tcW w:w="207" w:type="pct"/>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p>
        </w:tc>
        <w:tc>
          <w:tcPr>
            <w:tcW w:w="182" w:type="pct"/>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p>
        </w:tc>
        <w:tc>
          <w:tcPr>
            <w:tcW w:w="583"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05" w:type="pct"/>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Times New Roman" w:hAnsi="Times New Roman" w:eastAsia="宋体" w:cs="宋体"/>
                <w:b w:val="0"/>
                <w:bCs w:val="0"/>
                <w:i w:val="0"/>
                <w:iCs w:val="0"/>
                <w:color w:val="000000"/>
                <w:kern w:val="0"/>
                <w:sz w:val="18"/>
                <w:szCs w:val="18"/>
                <w:u w:val="none"/>
                <w:lang w:val="en-US" w:eastAsia="zh-CN" w:bidi="ar"/>
              </w:rPr>
              <w:t>10选8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16" w:type="pct"/>
            <w:gridSpan w:val="12"/>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t>平均周学时</w:t>
            </w: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27</w:t>
            </w:r>
          </w:p>
        </w:tc>
        <w:tc>
          <w:tcPr>
            <w:tcW w:w="203" w:type="pct"/>
            <w:vAlign w:val="center"/>
          </w:tcPr>
          <w:p>
            <w:pPr>
              <w:keepNext w:val="0"/>
              <w:keepLines w:val="0"/>
              <w:widowControl/>
              <w:suppressLineNumbers w:val="0"/>
              <w:jc w:val="center"/>
              <w:textAlignment w:val="center"/>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25.5</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23.5</w:t>
            </w:r>
          </w:p>
        </w:tc>
        <w:tc>
          <w:tcPr>
            <w:tcW w:w="197" w:type="pct"/>
            <w:vAlign w:val="center"/>
          </w:tcPr>
          <w:p>
            <w:pPr>
              <w:keepNext w:val="0"/>
              <w:keepLines w:val="0"/>
              <w:widowControl/>
              <w:suppressLineNumbers w:val="0"/>
              <w:jc w:val="center"/>
              <w:textAlignment w:val="center"/>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19</w:t>
            </w:r>
          </w:p>
        </w:tc>
        <w:tc>
          <w:tcPr>
            <w:tcW w:w="203" w:type="pct"/>
            <w:gridSpan w:val="2"/>
            <w:vAlign w:val="center"/>
          </w:tcPr>
          <w:p>
            <w:pPr>
              <w:keepNext w:val="0"/>
              <w:keepLines w:val="0"/>
              <w:widowControl/>
              <w:suppressLineNumbers w:val="0"/>
              <w:jc w:val="center"/>
              <w:textAlignment w:val="center"/>
              <w:rPr>
                <w:rFonts w:hint="default" w:ascii="Times New Roman" w:hAnsi="Times New Roman" w:eastAsia="宋体" w:cs="宋体"/>
                <w:b/>
                <w:bCs w:val="0"/>
                <w:color w:val="000000" w:themeColor="text1"/>
                <w:kern w:val="0"/>
                <w:sz w:val="18"/>
                <w:szCs w:val="21"/>
                <w:lang w:val="en-US" w:eastAsia="zh-CN"/>
                <w14:textFill>
                  <w14:solidFill>
                    <w14:schemeClr w14:val="tx1"/>
                  </w14:solidFill>
                </w14:textFill>
              </w:rPr>
            </w:pPr>
            <w:r>
              <w:rPr>
                <w:rFonts w:hint="eastAsia" w:ascii="Times New Roman" w:hAnsi="Times New Roman" w:eastAsia="宋体" w:cs="宋体"/>
                <w:b/>
                <w:bCs w:val="0"/>
                <w:color w:val="000000" w:themeColor="text1"/>
                <w:kern w:val="0"/>
                <w:sz w:val="18"/>
                <w:szCs w:val="21"/>
                <w:lang w:val="en-US" w:eastAsia="zh-CN"/>
                <w14:textFill>
                  <w14:solidFill>
                    <w14:schemeClr w14:val="tx1"/>
                  </w14:solidFill>
                </w14:textFill>
              </w:rPr>
              <w:t>21</w:t>
            </w:r>
          </w:p>
        </w:tc>
        <w:tc>
          <w:tcPr>
            <w:tcW w:w="207" w:type="pct"/>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p>
        </w:tc>
        <w:tc>
          <w:tcPr>
            <w:tcW w:w="182" w:type="pct"/>
            <w:vAlign w:val="center"/>
          </w:tcPr>
          <w:p>
            <w:pPr>
              <w:jc w:val="center"/>
              <w:textAlignment w:val="center"/>
              <w:outlineLvl w:val="9"/>
              <w:rPr>
                <w:rFonts w:hint="eastAsia" w:ascii="Times New Roman" w:hAnsi="Times New Roman" w:eastAsia="宋体" w:cs="宋体"/>
                <w:bCs/>
                <w:color w:val="000000" w:themeColor="text1"/>
                <w:kern w:val="0"/>
                <w:sz w:val="18"/>
                <w:szCs w:val="21"/>
                <w:lang w:val="en-US" w:eastAsia="zh-CN"/>
                <w14:textFill>
                  <w14:solidFill>
                    <w14:schemeClr w14:val="tx1"/>
                  </w14:solidFill>
                </w14:textFill>
              </w:rPr>
            </w:pPr>
          </w:p>
        </w:tc>
        <w:tc>
          <w:tcPr>
            <w:tcW w:w="583"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05"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16" w:type="pct"/>
            <w:gridSpan w:val="12"/>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203" w:type="pct"/>
            <w:gridSpan w:val="2"/>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p>
        </w:tc>
        <w:tc>
          <w:tcPr>
            <w:tcW w:w="203" w:type="pct"/>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p>
        </w:tc>
        <w:tc>
          <w:tcPr>
            <w:tcW w:w="197" w:type="pct"/>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p>
        </w:tc>
        <w:tc>
          <w:tcPr>
            <w:tcW w:w="197" w:type="pct"/>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p>
        </w:tc>
        <w:tc>
          <w:tcPr>
            <w:tcW w:w="203" w:type="pct"/>
            <w:gridSpan w:val="2"/>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p>
        </w:tc>
        <w:tc>
          <w:tcPr>
            <w:tcW w:w="207"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82"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83"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05"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59" w:type="pct"/>
            <w:gridSpan w:val="8"/>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学分总计、学时总计</w:t>
            </w:r>
          </w:p>
        </w:tc>
        <w:tc>
          <w:tcPr>
            <w:tcW w:w="872" w:type="pct"/>
            <w:gridSpan w:val="5"/>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150</w:t>
            </w:r>
          </w:p>
        </w:tc>
        <w:tc>
          <w:tcPr>
            <w:tcW w:w="835" w:type="pct"/>
            <w:gridSpan w:val="5"/>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2670</w:t>
            </w:r>
          </w:p>
        </w:tc>
        <w:tc>
          <w:tcPr>
            <w:tcW w:w="1026" w:type="pct"/>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p>
        </w:tc>
        <w:tc>
          <w:tcPr>
            <w:tcW w:w="305"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59" w:type="pct"/>
            <w:gridSpan w:val="8"/>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选修课程：学分总计、学时总计、占总学时比例</w:t>
            </w:r>
          </w:p>
        </w:tc>
        <w:tc>
          <w:tcPr>
            <w:tcW w:w="872" w:type="pct"/>
            <w:gridSpan w:val="5"/>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22</w:t>
            </w:r>
          </w:p>
        </w:tc>
        <w:tc>
          <w:tcPr>
            <w:tcW w:w="835" w:type="pct"/>
            <w:gridSpan w:val="5"/>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362</w:t>
            </w:r>
          </w:p>
        </w:tc>
        <w:tc>
          <w:tcPr>
            <w:tcW w:w="1026" w:type="pct"/>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13.56%</w:t>
            </w:r>
          </w:p>
        </w:tc>
        <w:tc>
          <w:tcPr>
            <w:tcW w:w="305"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59" w:type="pct"/>
            <w:gridSpan w:val="8"/>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实践性教学：学时总计、占总学时比例</w:t>
            </w:r>
          </w:p>
        </w:tc>
        <w:tc>
          <w:tcPr>
            <w:tcW w:w="872" w:type="pct"/>
            <w:gridSpan w:val="5"/>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1600</w:t>
            </w:r>
          </w:p>
        </w:tc>
        <w:tc>
          <w:tcPr>
            <w:tcW w:w="835" w:type="pct"/>
            <w:gridSpan w:val="5"/>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59.93%</w:t>
            </w:r>
          </w:p>
        </w:tc>
        <w:tc>
          <w:tcPr>
            <w:tcW w:w="1026" w:type="pct"/>
            <w:gridSpan w:val="4"/>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05" w:type="pct"/>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23"/>
            <w:vAlign w:val="center"/>
          </w:tcPr>
          <w:p>
            <w:pPr>
              <w:widowControl/>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注：</w:t>
            </w:r>
            <w:r>
              <w:rPr>
                <w:rFonts w:hint="eastAsia" w:ascii="宋体" w:hAnsi="宋体" w:eastAsia="宋体" w:cs="宋体"/>
                <w:bCs/>
                <w:color w:val="000000" w:themeColor="text1"/>
                <w:kern w:val="0"/>
                <w:sz w:val="21"/>
                <w:szCs w:val="21"/>
                <w14:textFill>
                  <w14:solidFill>
                    <w14:schemeClr w14:val="tx1"/>
                  </w14:solidFill>
                </w14:textFill>
              </w:rPr>
              <w:t>1.课堂教学周=教学活动周数（不小于20周）-实践教学周数；</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2.平均周学时仅为校核各学期周学时均衡度；</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3.W表示C类课程、军训训练、劳动安全教育、考试、毕业鉴定等的周数；</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4.岗位实习可在</w:t>
            </w:r>
            <w:r>
              <w:rPr>
                <w:rFonts w:hint="eastAsia" w:ascii="宋体" w:hAnsi="宋体" w:eastAsia="宋体" w:cs="宋体"/>
                <w:bCs/>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6</w:t>
            </w:r>
            <w:r>
              <w:rPr>
                <w:rFonts w:hint="eastAsia" w:ascii="宋体" w:hAnsi="宋体" w:eastAsia="宋体" w:cs="宋体"/>
                <w:bCs/>
                <w:color w:val="000000" w:themeColor="text1"/>
                <w:kern w:val="0"/>
                <w:sz w:val="21"/>
                <w:szCs w:val="21"/>
                <w14:textFill>
                  <w14:solidFill>
                    <w14:schemeClr w14:val="tx1"/>
                  </w14:solidFill>
                </w14:textFill>
              </w:rPr>
              <w:t>学期分段安排，累计不少于6个月（26周）；</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5.选修课中明确各项工作和学分的转换。</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6.标注★的为专业核心课程。</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7.</w:t>
            </w:r>
            <w:r>
              <w:rPr>
                <w:rFonts w:hint="eastAsia" w:ascii="宋体" w:hAnsi="宋体" w:eastAsia="宋体" w:cs="宋体"/>
                <w:bCs/>
                <w:color w:val="000000" w:themeColor="text1"/>
                <w:kern w:val="0"/>
                <w:sz w:val="21"/>
                <w:szCs w:val="21"/>
                <w:lang w:val="en-US" w:eastAsia="zh-CN"/>
                <w14:textFill>
                  <w14:solidFill>
                    <w14:schemeClr w14:val="tx1"/>
                  </w14:solidFill>
                </w14:textFill>
              </w:rPr>
              <w:t>“课程类型”（A）理论课   （B）理论+实践    （C）实践课；</w:t>
            </w:r>
          </w:p>
          <w:p>
            <w:pPr>
              <w:widowControl/>
              <w:ind w:firstLine="630" w:firstLineChars="300"/>
              <w:jc w:val="left"/>
              <w:textAlignment w:val="top"/>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“课程考核”：（A）开卷考试   （B）闭卷考试  （C）实践考核  （D）实习鉴定  （E）报告评定</w:t>
            </w:r>
          </w:p>
        </w:tc>
      </w:tr>
    </w:tbl>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sz w:val="30"/>
          <w:lang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sz w:val="30"/>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pStyle w:val="13"/>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000000" w:themeColor="text1"/>
          <w:sz w:val="28"/>
          <w:szCs w:val="28"/>
          <w14:textFill>
            <w14:solidFill>
              <w14:schemeClr w14:val="tx1"/>
            </w14:solidFill>
          </w14:textFill>
        </w:rPr>
      </w:pPr>
      <w:bookmarkStart w:id="34" w:name="_Toc31424"/>
      <w:bookmarkStart w:id="35" w:name="_Toc38299254"/>
      <w:bookmarkStart w:id="36" w:name="_Toc38201841"/>
      <w:bookmarkStart w:id="37" w:name="_Toc3078"/>
      <w:bookmarkStart w:id="38" w:name="_Hlk98766987"/>
      <w:r>
        <w:rPr>
          <w:rFonts w:hint="eastAsia" w:ascii="黑体" w:hAnsi="黑体" w:eastAsia="黑体" w:cs="黑体"/>
          <w:b w:val="0"/>
          <w:bCs/>
          <w:color w:val="000000" w:themeColor="text1"/>
          <w:sz w:val="28"/>
          <w:szCs w:val="28"/>
          <w:lang w:val="en-US" w:eastAsia="zh-CN"/>
          <w14:textFill>
            <w14:solidFill>
              <w14:schemeClr w14:val="tx1"/>
            </w14:solidFill>
          </w14:textFill>
        </w:rPr>
        <w:t>八、</w:t>
      </w:r>
      <w:r>
        <w:rPr>
          <w:rFonts w:hint="eastAsia" w:ascii="黑体" w:hAnsi="黑体" w:eastAsia="黑体" w:cs="黑体"/>
          <w:b w:val="0"/>
          <w:bCs/>
          <w:color w:val="000000" w:themeColor="text1"/>
          <w:sz w:val="28"/>
          <w:szCs w:val="28"/>
          <w14:textFill>
            <w14:solidFill>
              <w14:schemeClr w14:val="tx1"/>
            </w14:solidFill>
          </w14:textFill>
        </w:rPr>
        <w:t>实施与保障</w:t>
      </w:r>
      <w:bookmarkEnd w:id="34"/>
      <w:bookmarkEnd w:id="35"/>
      <w:bookmarkEnd w:id="36"/>
      <w:bookmarkEnd w:id="37"/>
    </w:p>
    <w:bookmarkEnd w:id="38"/>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39" w:name="_Toc256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师资队伍</w:t>
      </w:r>
      <w:bookmarkEnd w:id="39"/>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专业带头人</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专业带头人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杜美娥，教授</w:t>
      </w:r>
      <w:r>
        <w:rPr>
          <w:rFonts w:hint="eastAsia" w:ascii="仿宋_GB2312" w:hAnsi="仿宋_GB2312" w:eastAsia="仿宋_GB2312" w:cs="仿宋_GB2312"/>
          <w:color w:val="000000" w:themeColor="text1"/>
          <w:sz w:val="28"/>
          <w:szCs w:val="28"/>
          <w14:textFill>
            <w14:solidFill>
              <w14:schemeClr w14:val="tx1"/>
            </w14:solidFill>
          </w14:textFill>
        </w:rPr>
        <w:t>职称，</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生态工程系主任，有丰富的</w:t>
      </w:r>
      <w:r>
        <w:rPr>
          <w:rFonts w:hint="eastAsia" w:ascii="仿宋_GB2312" w:hAnsi="仿宋_GB2312" w:eastAsia="仿宋_GB2312" w:cs="仿宋_GB2312"/>
          <w:color w:val="000000" w:themeColor="text1"/>
          <w:sz w:val="28"/>
          <w:szCs w:val="28"/>
          <w14:textFill>
            <w14:solidFill>
              <w14:schemeClr w14:val="tx1"/>
            </w14:solidFill>
          </w14:textFill>
        </w:rPr>
        <w:t>行业企业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资源，</w:t>
      </w:r>
      <w:r>
        <w:rPr>
          <w:rFonts w:hint="eastAsia" w:ascii="仿宋_GB2312" w:hAnsi="仿宋_GB2312" w:eastAsia="仿宋_GB2312" w:cs="仿宋_GB2312"/>
          <w:color w:val="000000" w:themeColor="text1"/>
          <w:sz w:val="28"/>
          <w:szCs w:val="28"/>
          <w14:textFill>
            <w14:solidFill>
              <w14:schemeClr w14:val="tx1"/>
            </w14:solidFill>
          </w14:textFill>
        </w:rPr>
        <w:t>了解行业企业对本专业人才的需求实际</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能够正确的</w:t>
      </w:r>
      <w:r>
        <w:rPr>
          <w:rFonts w:hint="eastAsia" w:ascii="仿宋_GB2312" w:hAnsi="仿宋_GB2312" w:eastAsia="仿宋_GB2312" w:cs="仿宋_GB2312"/>
          <w:color w:val="000000" w:themeColor="text1"/>
          <w:sz w:val="28"/>
          <w:szCs w:val="28"/>
          <w14:textFill>
            <w14:solidFill>
              <w14:schemeClr w14:val="tx1"/>
            </w14:solidFill>
          </w14:textFill>
        </w:rPr>
        <w:t>把握专业发展</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方向，</w:t>
      </w:r>
      <w:r>
        <w:rPr>
          <w:rFonts w:hint="eastAsia" w:ascii="仿宋_GB2312" w:hAnsi="仿宋_GB2312" w:eastAsia="仿宋_GB2312" w:cs="仿宋_GB2312"/>
          <w:color w:val="000000" w:themeColor="text1"/>
          <w:sz w:val="28"/>
          <w:szCs w:val="28"/>
          <w14:textFill>
            <w14:solidFill>
              <w14:schemeClr w14:val="tx1"/>
            </w14:solidFill>
          </w14:textFill>
        </w:rPr>
        <w:t>教学设计、专业研究能力强，组织开展教科研工作能力强，在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鄂尔多斯周边地区的农业</w:t>
      </w:r>
      <w:r>
        <w:rPr>
          <w:rFonts w:hint="eastAsia" w:ascii="仿宋_GB2312" w:hAnsi="仿宋_GB2312" w:eastAsia="仿宋_GB2312" w:cs="仿宋_GB2312"/>
          <w:color w:val="000000" w:themeColor="text1"/>
          <w:sz w:val="28"/>
          <w:szCs w:val="28"/>
          <w14:textFill>
            <w14:solidFill>
              <w14:schemeClr w14:val="tx1"/>
            </w14:solidFill>
          </w14:textFill>
        </w:rPr>
        <w:t>领域具有一定的专业影响力。</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骨干教师</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该专业教学团队教育理念先进，专业知识丰富，教学中能与时俱进紧密结合实践，对行业人才需求及技术更新动态把握准确。教师总数为9人，其中专任教师6人，行政兼课3人，生师比10:1。具有教授1人，副教授6人，中级职称2人，高级职称占比78%；学历层面博士1人，硕士4人，本科4人；双师型教师6人，占比78%。</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0" w:name="_Toc31426"/>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教学设施</w:t>
      </w:r>
      <w:bookmarkEnd w:id="40"/>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校内实践教学条件</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园艺技术专业校内实训场地、设施、设备等同生态工程系园林、休闲农业专业共同使用，实训场地、设施、设备较为完善，基本满足日常实训教学。实训教学场地有土壤分析实验室、植物生理实验室、植物病理实验室、插花实训室、植物标本馆、植物保护馆、智能温室1栋、试验田10亩。</w:t>
      </w:r>
    </w:p>
    <w:tbl>
      <w:tblPr>
        <w:tblStyle w:val="6"/>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006"/>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both"/>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序号</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名称</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主要设备</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土壤分析实验室</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凯氏定氮仪、烘箱、灭菌锅、分光光度计</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植物生产环境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植物生理实验室</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天平、显微镜、光合速测仪</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植物生产环境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植物病理实验室</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PCR、制冰机、制水机、凝胶成型系统、显微镜、-80冰箱、高压灭菌锅、超净工作台、超速冷冻离心机</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作物病害防治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4</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农业物联网应用实训室（建设中）</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物联网基础试验箱，包含RFID模块、传感器模块、无线通信模块、扩展嵌人式网关等功能模块和其他配套设备；物联网综合实训系统，包含智能农业种植、智能水产养殖、智能家居等实训情景模块</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农业物联网工程设计与实施、传感器及检测技术、无线传输网络技术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智能温室</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喷灌系统、通风系统、遮阳系统、补光系统</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设施农业生产技术、农业机械使用技术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6</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设施机械化生产实训场</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（建设中）</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拖拉机、旋耕机、开沟机、多功能田园管理作业机、起垄机、手推式精密播种机、作畦机、蔬菜移栽机、农用机器人等</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农业机械使用技术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7</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机房（建设中）</w:t>
            </w:r>
          </w:p>
        </w:tc>
        <w:tc>
          <w:tcPr>
            <w:tcW w:w="400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电脑、制图软件</w:t>
            </w:r>
          </w:p>
        </w:tc>
        <w:tc>
          <w:tcPr>
            <w:tcW w:w="2153"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程序设计基础、工程制图、</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bCs w:val="0"/>
          <w:color w:val="000000" w:themeColor="text1"/>
          <w:sz w:val="28"/>
          <w:szCs w:val="28"/>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bCs w:val="0"/>
          <w:color w:val="000000" w:themeColor="text1"/>
          <w:sz w:val="28"/>
          <w:szCs w:val="28"/>
          <w14:textFill>
            <w14:solidFill>
              <w14:schemeClr w14:val="tx1"/>
            </w14:solidFill>
          </w14:textFill>
        </w:rPr>
        <w:t>校外实践教学条件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Times New Roman" w:hAnsi="Times New Roman" w:eastAsia="仿宋" w:cs="仿宋"/>
          <w:sz w:val="30"/>
          <w:lang w:eastAsia="zh-CN"/>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与我院进行校企合作单位提供校外实训场地。目前我院通过仿企拓岗联系4家当地设施农场和温室设计公司，初步建立合作意向，能够保障学生顶岗实习及就业。</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教学资源</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教学资源主要包括能够满足学生专业学习、教师专业教学研究和教学实施所需的教材、图书文献及数字教学资源等。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教材选用</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lang w:val="en-US" w:eastAsia="zh-CN"/>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本专业选用的教材多数为高职类十三五规划教材，知识难度适中，实训内容丰富，适合教师教学参考，也可作为学生自学教材。</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图书文献配备基本要求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学院图书馆建设面积2000多平方米，设有电子阅览室、报纸期刊阅览室、图书室等，平均纸质图书藏量30万册以上，其中专业图书达60%；年购置纸质图书费用生均40元以上；本专业的相关报刊总类不少于20种；</w:t>
      </w:r>
      <w:r>
        <w:rPr>
          <w:rFonts w:hint="eastAsia" w:ascii="仿宋_GB2312" w:hAnsi="仿宋_GB2312" w:eastAsia="仿宋_GB2312" w:cs="仿宋_GB2312"/>
          <w:bCs/>
          <w:color w:val="000000" w:themeColor="text1"/>
          <w:sz w:val="28"/>
          <w:szCs w:val="28"/>
          <w14:textFill>
            <w14:solidFill>
              <w14:schemeClr w14:val="tx1"/>
            </w14:solidFill>
          </w14:textFill>
        </w:rPr>
        <w:t>图书文献配备能满足人才培养、专业建设、教科研等工作的需要，方便师生查询、借阅。</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在每座教学楼放置了超星电子阅览器，方便学生随时阅读；专业类图书文献主要包括:涉农行业政策法规资料，有关职业标准，有关种子生产、检验、加工的技术、标准、方法、操作规范以及营销案例类图书等。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数字教学资源配置</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教室与实验室均配有多媒体、无线网络可满足</w:t>
      </w:r>
      <w:r>
        <w:rPr>
          <w:rFonts w:hint="eastAsia" w:ascii="仿宋_GB2312" w:hAnsi="仿宋_GB2312" w:eastAsia="仿宋_GB2312" w:cs="仿宋_GB2312"/>
          <w:bCs/>
          <w:color w:val="000000" w:themeColor="text1"/>
          <w:sz w:val="28"/>
          <w:szCs w:val="28"/>
          <w14:textFill>
            <w14:solidFill>
              <w14:schemeClr w14:val="tx1"/>
            </w14:solidFill>
          </w14:textFill>
        </w:rPr>
        <w:t>音视频素材、教学课件、数字化教学案例库、虚拟仿真软件、数字教材</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的播放</w:t>
      </w:r>
      <w:r>
        <w:rPr>
          <w:rFonts w:hint="eastAsia" w:ascii="仿宋_GB2312" w:hAnsi="仿宋_GB2312" w:eastAsia="仿宋_GB2312" w:cs="仿宋_GB2312"/>
          <w:bCs/>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1" w:name="_Toc30455"/>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四</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教学方法</w:t>
      </w:r>
      <w:bookmarkEnd w:id="41"/>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教学方法</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不断探索教学模式和教学方法的改革与创新，探索任务驱动、项目导向等有利于增强学生能力的教学模式，探索课堂与实习地点一体化，学生在教师和技术人员的共同指导下学习和实践，实现教室与</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田</w:t>
      </w:r>
      <w:r>
        <w:rPr>
          <w:rFonts w:hint="eastAsia" w:ascii="仿宋_GB2312" w:hAnsi="仿宋_GB2312" w:eastAsia="仿宋_GB2312" w:cs="仿宋_GB2312"/>
          <w:color w:val="000000" w:themeColor="text1"/>
          <w:sz w:val="28"/>
          <w:szCs w:val="28"/>
          <w14:textFill>
            <w14:solidFill>
              <w14:schemeClr w14:val="tx1"/>
            </w14:solidFill>
          </w14:textFill>
        </w:rPr>
        <w:t>间合一</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在真实职业情境中实施教学，教学方法以边讲边练、讲练结合为主，强化学生能力培养。</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教学手段</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充分运用现代教育技术，通过实物展示、动画演示、视频资料，将比较复杂的</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操作</w:t>
      </w:r>
      <w:r>
        <w:rPr>
          <w:rFonts w:hint="eastAsia" w:ascii="仿宋_GB2312" w:hAnsi="仿宋_GB2312" w:eastAsia="仿宋_GB2312" w:cs="仿宋_GB2312"/>
          <w:color w:val="000000" w:themeColor="text1"/>
          <w:sz w:val="28"/>
          <w:szCs w:val="28"/>
          <w14:textFill>
            <w14:solidFill>
              <w14:schemeClr w14:val="tx1"/>
            </w14:solidFill>
          </w14:textFill>
        </w:rPr>
        <w:t>过程利用生动的图像及动画形式进行虚拟演示，优化教学过程，给学生比较强烈的直观感受，有助于学生理解，同时使课堂教学生动活泼、引人入胜，提高教学质量和效率。</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2" w:name="_Toc16020"/>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五</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学习评价</w:t>
      </w:r>
      <w:bookmarkEnd w:id="42"/>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总结汇报</w:t>
      </w:r>
      <w:r>
        <w:rPr>
          <w:rFonts w:hint="eastAsia" w:ascii="仿宋_GB2312" w:hAnsi="仿宋_GB2312" w:eastAsia="仿宋_GB2312" w:cs="仿宋_GB2312"/>
          <w:color w:val="000000" w:themeColor="text1"/>
          <w:sz w:val="28"/>
          <w:szCs w:val="28"/>
          <w14:textFill>
            <w14:solidFill>
              <w14:schemeClr w14:val="tx1"/>
            </w14:solidFill>
          </w14:textFill>
        </w:rPr>
        <w:t>相结合，笔试与操作考核相结合，突出学生的能力考核和技能考核。在项目课程中，参照企业的评价方式，推行等级评价方式。生产性实习和岗位实习的评价由校内指导教师和企业指导教师共同完成。</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3" w:name="_Toc24701"/>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六</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质量管理</w:t>
      </w:r>
      <w:bookmarkEnd w:id="43"/>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组织保障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、系（部）二级教学质量管理机制。</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相关部门实施一级管理</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专业建设</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委员会：</w:t>
      </w:r>
      <w:r>
        <w:rPr>
          <w:rFonts w:hint="eastAsia" w:ascii="仿宋_GB2312" w:hAnsi="仿宋_GB2312" w:eastAsia="仿宋_GB2312" w:cs="仿宋_GB2312"/>
          <w:color w:val="000000" w:themeColor="text1"/>
          <w:sz w:val="28"/>
          <w:szCs w:val="28"/>
          <w14:textFill>
            <w14:solidFill>
              <w14:schemeClr w14:val="tx1"/>
            </w14:solidFill>
          </w14:textFill>
        </w:rPr>
        <w:t>行使</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教学指导职能。主要监控</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w:t>
      </w:r>
      <w:r>
        <w:rPr>
          <w:rFonts w:hint="eastAsia" w:ascii="仿宋_GB2312" w:hAnsi="仿宋_GB2312" w:eastAsia="仿宋_GB2312" w:cs="仿宋_GB2312"/>
          <w:color w:val="000000" w:themeColor="text1"/>
          <w:sz w:val="28"/>
          <w:szCs w:val="28"/>
          <w14:textFill>
            <w14:solidFill>
              <w14:schemeClr w14:val="tx1"/>
            </w14:solidFill>
          </w14:textFill>
        </w:rPr>
        <w:t>人才培养目标定位、重大教学改革方案和人才培养方案的制定</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修订，实验实训室建设等</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hint="eastAsia" w:ascii="仿宋_GB2312" w:hAnsi="仿宋_GB2312" w:eastAsia="仿宋_GB2312" w:cs="仿宋_GB2312"/>
          <w:color w:val="000000" w:themeColor="text1"/>
          <w:sz w:val="28"/>
          <w:szCs w:val="28"/>
          <w:shd w:val="clear" w:color="auto" w:fill="FFFFFF"/>
          <w:lang w:val="en-US" w:eastAsia="zh-CN"/>
          <w14:textFill>
            <w14:solidFill>
              <w14:schemeClr w14:val="tx1"/>
            </w14:solidFill>
          </w14:textFill>
        </w:rPr>
        <w:t>工作机制</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各系（部）实施二级管理</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w:t>
      </w:r>
      <w:r>
        <w:rPr>
          <w:rFonts w:hint="eastAsia" w:ascii="仿宋_GB2312" w:hAnsi="仿宋_GB2312" w:eastAsia="仿宋_GB2312" w:cs="仿宋_GB2312"/>
          <w:color w:val="000000" w:themeColor="text1"/>
          <w:sz w:val="28"/>
          <w:szCs w:val="28"/>
          <w14:textFill>
            <w14:solidFill>
              <w14:schemeClr w14:val="tx1"/>
            </w14:solidFill>
          </w14:textFill>
        </w:rPr>
        <w:t>、资源建设等方面质量标准建设，通过教学实施、过程监控、质量评价和持续改进，达成人才培养</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目标和</w:t>
      </w:r>
      <w:r>
        <w:rPr>
          <w:rFonts w:hint="eastAsia" w:ascii="仿宋_GB2312" w:hAnsi="仿宋_GB2312" w:eastAsia="仿宋_GB2312" w:cs="仿宋_GB2312"/>
          <w:color w:val="000000" w:themeColor="text1"/>
          <w:sz w:val="28"/>
          <w:szCs w:val="28"/>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工作</w:t>
      </w:r>
      <w:r>
        <w:rPr>
          <w:rFonts w:hint="eastAsia" w:ascii="仿宋_GB2312" w:hAnsi="仿宋_GB2312" w:eastAsia="仿宋_GB2312" w:cs="仿宋_GB2312"/>
          <w:color w:val="000000" w:themeColor="text1"/>
          <w:sz w:val="28"/>
          <w:szCs w:val="28"/>
          <w14:textFill>
            <w14:solidFill>
              <w14:schemeClr w14:val="tx1"/>
            </w14:solidFill>
          </w14:textFill>
        </w:rPr>
        <w:t>，建立健全巡课、听课、评教、评学等制度，定期开展公开课、示范课等教研活动。建立与企业联动的实践教学环节督导制度，严明教学纪律，强化教学组织</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制度保障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教学运行及教学管理相关检查制度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w:t>
      </w:r>
      <w:r>
        <w:rPr>
          <w:rFonts w:hint="eastAsia" w:ascii="仿宋_GB2312" w:hAnsi="仿宋_GB2312" w:eastAsia="仿宋_GB2312" w:cs="仿宋_GB2312"/>
          <w:color w:val="000000" w:themeColor="text1"/>
          <w:sz w:val="28"/>
          <w:szCs w:val="28"/>
          <w:lang w:eastAsia="zh-CN"/>
          <w14:textFill>
            <w14:solidFill>
              <w14:schemeClr w14:val="tx1"/>
            </w14:solidFill>
          </w14:textFill>
        </w:rPr>
        <w:t>两</w:t>
      </w:r>
      <w:r>
        <w:rPr>
          <w:rFonts w:hint="eastAsia" w:ascii="仿宋_GB2312" w:hAnsi="仿宋_GB2312" w:eastAsia="仿宋_GB2312" w:cs="仿宋_GB2312"/>
          <w:color w:val="000000" w:themeColor="text1"/>
          <w:sz w:val="28"/>
          <w:szCs w:val="28"/>
          <w14:textFill>
            <w14:solidFill>
              <w14:schemeClr w14:val="tx1"/>
            </w14:solidFill>
          </w14:textFill>
        </w:rPr>
        <w:t>次</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集中</w:t>
      </w:r>
      <w:r>
        <w:rPr>
          <w:rFonts w:hint="eastAsia" w:ascii="仿宋_GB2312" w:hAnsi="仿宋_GB2312" w:eastAsia="仿宋_GB2312" w:cs="仿宋_GB2312"/>
          <w:color w:val="000000" w:themeColor="text1"/>
          <w:sz w:val="28"/>
          <w:szCs w:val="28"/>
          <w14:textFill>
            <w14:solidFill>
              <w14:schemeClr w14:val="tx1"/>
            </w14:solidFill>
          </w14:textFill>
        </w:rPr>
        <w:t>教学检查，教学检查覆盖教师教学的备课、课堂讲授、作业批改、实验实习、辅导答疑、考试、阅卷、试卷分析、毕业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汇报</w:t>
      </w:r>
      <w:r>
        <w:rPr>
          <w:rFonts w:hint="eastAsia" w:ascii="仿宋_GB2312" w:hAnsi="仿宋_GB2312" w:eastAsia="仿宋_GB2312" w:cs="仿宋_GB2312"/>
          <w:color w:val="000000" w:themeColor="text1"/>
          <w:sz w:val="28"/>
          <w:szCs w:val="28"/>
          <w14:textFill>
            <w14:solidFill>
              <w14:schemeClr w14:val="tx1"/>
            </w14:solidFill>
          </w14:textFill>
        </w:rPr>
        <w:t>等教学全过程。</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师资队伍建设制度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w:t>
      </w:r>
      <w:r>
        <w:rPr>
          <w:rFonts w:hint="eastAsia" w:ascii="仿宋_GB2312" w:hAnsi="仿宋_GB2312" w:eastAsia="仿宋_GB2312" w:cs="仿宋_GB2312"/>
          <w:color w:val="000000" w:themeColor="text1"/>
          <w:sz w:val="28"/>
          <w:szCs w:val="28"/>
          <w:highlight w:val="none"/>
          <w14:textFill>
            <w14:solidFill>
              <w14:schemeClr w14:val="tx1"/>
            </w14:solidFill>
          </w14:textFill>
        </w:rPr>
        <w:t>定《专业带头人与骨干教师评选办法》《教师培训与培养实施办法》等制度保障</w:t>
      </w:r>
      <w:r>
        <w:rPr>
          <w:rFonts w:hint="eastAsia" w:ascii="仿宋_GB2312" w:hAnsi="仿宋_GB2312" w:eastAsia="仿宋_GB2312" w:cs="仿宋_GB2312"/>
          <w:color w:val="000000" w:themeColor="text1"/>
          <w:sz w:val="28"/>
          <w:szCs w:val="28"/>
          <w14:textFill>
            <w14:solidFill>
              <w14:schemeClr w14:val="tx1"/>
            </w14:solidFill>
          </w14:textFill>
        </w:rPr>
        <w:t>教师队伍建设工作，提高专业教师的整体素质，确保人才培养质量。</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听课制度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领导至新</w:t>
      </w:r>
      <w:r>
        <w:rPr>
          <w:rFonts w:hint="eastAsia" w:ascii="仿宋_GB2312" w:hAnsi="仿宋_GB2312" w:eastAsia="仿宋_GB2312" w:cs="仿宋_GB2312"/>
          <w:color w:val="000000" w:themeColor="text1"/>
          <w:sz w:val="28"/>
          <w:szCs w:val="28"/>
          <w:lang w:eastAsia="zh-CN"/>
          <w14:textFill>
            <w14:solidFill>
              <w14:schemeClr w14:val="tx1"/>
            </w14:solidFill>
          </w14:textFill>
        </w:rPr>
        <w:t>招聘</w:t>
      </w:r>
      <w:r>
        <w:rPr>
          <w:rFonts w:hint="eastAsia" w:ascii="仿宋_GB2312" w:hAnsi="仿宋_GB2312" w:eastAsia="仿宋_GB2312" w:cs="仿宋_GB2312"/>
          <w:color w:val="000000" w:themeColor="text1"/>
          <w:sz w:val="28"/>
          <w:szCs w:val="28"/>
          <w14:textFill>
            <w14:solidFill>
              <w14:schemeClr w14:val="tx1"/>
            </w14:solidFill>
          </w14:textFill>
        </w:rPr>
        <w:t>教师，每学期必须按要求完成一定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量</w:t>
      </w:r>
      <w:r>
        <w:rPr>
          <w:rFonts w:hint="eastAsia" w:ascii="仿宋_GB2312" w:hAnsi="仿宋_GB2312" w:eastAsia="仿宋_GB2312" w:cs="仿宋_GB2312"/>
          <w:color w:val="000000" w:themeColor="text1"/>
          <w:sz w:val="28"/>
          <w:szCs w:val="28"/>
          <w14:textFill>
            <w14:solidFill>
              <w14:schemeClr w14:val="tx1"/>
            </w14:solidFill>
          </w14:textFill>
        </w:rPr>
        <w:t>的听课工作。</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级领导、系主任及行政部门中层干部深入教学第一线定期听课、督查教学过程，解决教学中存在的问题；老教师听课对新教师起到督导和传帮带作用，新教师通过听课掌握教学的基本技巧，学会如何上好一堂课。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教师教学质量考核制度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毕业生跟踪调查制度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校企合作制度建设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0"/>
        <w:rPr>
          <w:rFonts w:hint="eastAsia" w:ascii="黑体" w:hAnsi="黑体" w:eastAsia="黑体" w:cs="黑体"/>
          <w:b w:val="0"/>
          <w:bCs/>
          <w:color w:val="000000" w:themeColor="text1"/>
          <w:sz w:val="28"/>
          <w:szCs w:val="28"/>
          <w14:textFill>
            <w14:solidFill>
              <w14:schemeClr w14:val="tx1"/>
            </w14:solidFill>
          </w14:textFill>
        </w:rPr>
      </w:pPr>
      <w:bookmarkStart w:id="44" w:name="_Toc15314"/>
      <w:bookmarkStart w:id="45" w:name="_Toc2360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毕业生要求</w:t>
      </w:r>
      <w:bookmarkEnd w:id="44"/>
      <w:bookmarkEnd w:id="45"/>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top"/>
        <w:outlineLvl w:val="9"/>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w:t>
      </w:r>
      <w:r>
        <w:rPr>
          <w:rFonts w:hint="eastAsia" w:ascii="仿宋_GB2312" w:hAnsi="仿宋_GB2312" w:eastAsia="仿宋_GB2312" w:cs="仿宋_GB2312"/>
          <w:color w:val="000000" w:themeColor="text1"/>
          <w:sz w:val="28"/>
          <w:szCs w:val="28"/>
          <w:highlight w:val="none"/>
          <w14:textFill>
            <w14:solidFill>
              <w14:schemeClr w14:val="tx1"/>
            </w14:solidFill>
          </w14:textFill>
        </w:rPr>
        <w:t>生通过</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highlight w:val="none"/>
          <w14:textFill>
            <w14:solidFill>
              <w14:schemeClr w14:val="tx1"/>
            </w14:solidFill>
          </w14:textFill>
        </w:rPr>
        <w:t>年的学习，要求学生所学的全部课程考试合格，获得通用证书以及行业</w:t>
      </w:r>
      <w:bookmarkStart w:id="47" w:name="_GoBack"/>
      <w:bookmarkEnd w:id="47"/>
      <w:r>
        <w:rPr>
          <w:rFonts w:hint="eastAsia" w:ascii="仿宋_GB2312" w:hAnsi="仿宋_GB2312" w:eastAsia="仿宋_GB2312" w:cs="仿宋_GB2312"/>
          <w:color w:val="000000" w:themeColor="text1"/>
          <w:sz w:val="28"/>
          <w:szCs w:val="28"/>
          <w:highlight w:val="none"/>
          <w14:textFill>
            <w14:solidFill>
              <w14:schemeClr w14:val="tx1"/>
            </w14:solidFill>
          </w14:textFill>
        </w:rPr>
        <w:t>资格证书，并达到本专业人才培养目标和培养规格的要求。</w:t>
      </w:r>
      <w:bookmarkStart w:id="46" w:name="_Hlk76643124"/>
      <w:r>
        <w:rPr>
          <w:rFonts w:hint="eastAsia" w:ascii="仿宋_GB2312" w:hAnsi="仿宋_GB2312" w:eastAsia="仿宋_GB2312" w:cs="仿宋_GB2312"/>
          <w:color w:val="000000" w:themeColor="text1"/>
          <w:sz w:val="28"/>
          <w:szCs w:val="28"/>
          <w:highlight w:val="none"/>
          <w14:textFill>
            <w14:solidFill>
              <w14:schemeClr w14:val="tx1"/>
            </w14:solidFill>
          </w14:textFill>
        </w:rPr>
        <w:t>学生须修满本专业人才培养方案规定的</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2670</w:t>
      </w:r>
      <w:r>
        <w:rPr>
          <w:rFonts w:hint="eastAsia" w:ascii="仿宋_GB2312" w:hAnsi="仿宋_GB2312" w:eastAsia="仿宋_GB2312" w:cs="仿宋_GB2312"/>
          <w:color w:val="000000" w:themeColor="text1"/>
          <w:sz w:val="28"/>
          <w:szCs w:val="28"/>
          <w:highlight w:val="none"/>
          <w14:textFill>
            <w14:solidFill>
              <w14:schemeClr w14:val="tx1"/>
            </w14:solidFill>
          </w14:textFill>
        </w:rPr>
        <w:t>学时、</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150</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学分。其中公共基础必修课程</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702</w:t>
      </w:r>
      <w:r>
        <w:rPr>
          <w:rFonts w:hint="eastAsia" w:ascii="仿宋_GB2312" w:hAnsi="仿宋_GB2312" w:eastAsia="仿宋_GB2312" w:cs="仿宋_GB2312"/>
          <w:color w:val="000000" w:themeColor="text1"/>
          <w:sz w:val="28"/>
          <w:szCs w:val="28"/>
          <w:highlight w:val="none"/>
          <w14:textFill>
            <w14:solidFill>
              <w14:schemeClr w14:val="tx1"/>
            </w14:solidFill>
          </w14:textFill>
        </w:rPr>
        <w:t>课时、</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2</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学分；专业技能必修课程</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1616</w:t>
      </w:r>
      <w:r>
        <w:rPr>
          <w:rFonts w:hint="eastAsia" w:ascii="仿宋_GB2312" w:hAnsi="仿宋_GB2312" w:eastAsia="仿宋_GB2312" w:cs="仿宋_GB2312"/>
          <w:color w:val="000000" w:themeColor="text1"/>
          <w:sz w:val="28"/>
          <w:szCs w:val="28"/>
          <w:highlight w:val="none"/>
          <w14:textFill>
            <w14:solidFill>
              <w14:schemeClr w14:val="tx1"/>
            </w14:solidFill>
          </w14:textFill>
        </w:rPr>
        <w:t>学时、</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86</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学分；公共基础选修课程</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96</w:t>
      </w:r>
      <w:r>
        <w:rPr>
          <w:rFonts w:hint="eastAsia" w:ascii="仿宋_GB2312" w:hAnsi="仿宋_GB2312" w:eastAsia="仿宋_GB2312" w:cs="仿宋_GB2312"/>
          <w:color w:val="000000" w:themeColor="text1"/>
          <w:sz w:val="28"/>
          <w:szCs w:val="28"/>
          <w:highlight w:val="none"/>
          <w14:textFill>
            <w14:solidFill>
              <w14:schemeClr w14:val="tx1"/>
            </w14:solidFill>
          </w14:textFill>
        </w:rPr>
        <w:t>课时、</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学分；专业技能选修课程</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256</w:t>
      </w:r>
      <w:r>
        <w:rPr>
          <w:rFonts w:hint="eastAsia" w:ascii="仿宋_GB2312" w:hAnsi="仿宋_GB2312" w:eastAsia="仿宋_GB2312" w:cs="仿宋_GB2312"/>
          <w:color w:val="000000" w:themeColor="text1"/>
          <w:sz w:val="28"/>
          <w:szCs w:val="28"/>
          <w:highlight w:val="none"/>
          <w14:textFill>
            <w14:solidFill>
              <w14:schemeClr w14:val="tx1"/>
            </w14:solidFill>
          </w14:textFill>
        </w:rPr>
        <w:t>课时、</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w:t>
      </w:r>
      <w:bookmarkEnd w:id="46"/>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right"/>
        <w:textAlignment w:val="auto"/>
        <w:rPr>
          <w:rFonts w:hint="eastAsia" w:ascii="Times New Roman" w:hAnsi="Times New Roman" w:eastAsia="仿宋" w:cs="仿宋"/>
          <w:sz w:val="30"/>
          <w:lang w:eastAsia="zh-CN"/>
        </w:rPr>
      </w:pPr>
      <w:r>
        <w:rPr>
          <w:rFonts w:hint="eastAsia" w:ascii="Times New Roman" w:hAnsi="Times New Roman" w:eastAsia="仿宋" w:cs="仿宋"/>
          <w:sz w:val="30"/>
          <w:lang w:eastAsia="zh-CN"/>
        </w:rPr>
        <w:t>鄂尔多斯生态环境职业学院</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center"/>
        <w:textAlignment w:val="auto"/>
        <w:rPr>
          <w:rFonts w:hint="eastAsia" w:ascii="Times New Roman" w:hAnsi="Times New Roman" w:eastAsia="仿宋" w:cs="仿宋"/>
          <w:sz w:val="30"/>
          <w:lang w:eastAsia="zh-CN"/>
        </w:rPr>
      </w:pPr>
      <w:r>
        <w:rPr>
          <w:rFonts w:hint="eastAsia" w:ascii="Times New Roman" w:hAnsi="Times New Roman" w:eastAsia="仿宋" w:cs="仿宋"/>
          <w:sz w:val="30"/>
          <w:lang w:val="en-US" w:eastAsia="zh-CN"/>
        </w:rPr>
        <w:t xml:space="preserve">                             </w:t>
      </w:r>
      <w:r>
        <w:rPr>
          <w:rFonts w:hint="eastAsia" w:ascii="Times New Roman" w:hAnsi="Times New Roman" w:eastAsia="仿宋" w:cs="仿宋"/>
          <w:sz w:val="30"/>
          <w:lang w:eastAsia="zh-CN"/>
        </w:rPr>
        <w:t>生态工程系</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center"/>
        <w:textAlignment w:val="auto"/>
        <w:rPr>
          <w:rFonts w:hint="eastAsia" w:ascii="Times New Roman" w:hAnsi="Times New Roman" w:eastAsia="仿宋" w:cs="仿宋"/>
          <w:sz w:val="30"/>
          <w:lang w:eastAsia="zh-CN"/>
        </w:rPr>
      </w:pPr>
      <w:r>
        <w:rPr>
          <w:rFonts w:hint="eastAsia" w:ascii="Times New Roman" w:hAnsi="Times New Roman" w:eastAsia="仿宋" w:cs="仿宋"/>
          <w:sz w:val="30"/>
          <w:lang w:val="en-US" w:eastAsia="zh-CN"/>
        </w:rPr>
        <w:t xml:space="preserve">                            </w:t>
      </w:r>
      <w:r>
        <w:rPr>
          <w:rFonts w:hint="eastAsia" w:ascii="Times New Roman" w:hAnsi="Times New Roman" w:eastAsia="仿宋" w:cs="仿宋"/>
          <w:sz w:val="30"/>
          <w:lang w:eastAsia="zh-CN"/>
        </w:rPr>
        <w:t>202</w:t>
      </w:r>
      <w:r>
        <w:rPr>
          <w:rFonts w:hint="eastAsia" w:ascii="Times New Roman" w:hAnsi="Times New Roman" w:eastAsia="仿宋" w:cs="仿宋"/>
          <w:sz w:val="30"/>
          <w:lang w:val="en-US" w:eastAsia="zh-CN"/>
        </w:rPr>
        <w:t>2</w:t>
      </w:r>
      <w:r>
        <w:rPr>
          <w:rFonts w:hint="eastAsia" w:ascii="Times New Roman" w:hAnsi="Times New Roman" w:eastAsia="仿宋" w:cs="仿宋"/>
          <w:sz w:val="30"/>
          <w:lang w:eastAsia="zh-CN"/>
        </w:rPr>
        <w:t>年12月</w:t>
      </w:r>
      <w:r>
        <w:rPr>
          <w:rFonts w:hint="eastAsia" w:ascii="Times New Roman" w:hAnsi="Times New Roman" w:eastAsia="仿宋" w:cs="仿宋"/>
          <w:sz w:val="30"/>
          <w:lang w:val="en-US" w:eastAsia="zh-CN"/>
        </w:rPr>
        <w:t>7</w:t>
      </w:r>
      <w:r>
        <w:rPr>
          <w:rFonts w:hint="eastAsia" w:ascii="Times New Roman" w:hAnsi="Times New Roman" w:eastAsia="仿宋" w:cs="仿宋"/>
          <w:sz w:val="30"/>
          <w:lang w:eastAsia="zh-CN"/>
        </w:rPr>
        <w:t>日</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right"/>
        <w:textAlignment w:val="auto"/>
        <w:rPr>
          <w:rFonts w:hint="eastAsia" w:ascii="Times New Roman" w:hAnsi="Times New Roman" w:eastAsia="仿宋" w:cs="仿宋"/>
          <w:sz w:val="30"/>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jc w:val="center"/>
    </w:pPr>
  </w:p>
  <w:p>
    <w:pPr>
      <w:pStyle w:val="2"/>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2"/>
      <w:ind w:firstLine="4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ZTZkYTgxMzk0N2E1NzVkOGY1OGY1Mjc5ZGE5NDcifQ=="/>
  </w:docVars>
  <w:rsids>
    <w:rsidRoot w:val="00000000"/>
    <w:rsid w:val="00E91CFD"/>
    <w:rsid w:val="0385634A"/>
    <w:rsid w:val="066F5090"/>
    <w:rsid w:val="100D3098"/>
    <w:rsid w:val="10682356"/>
    <w:rsid w:val="21EB7868"/>
    <w:rsid w:val="2E0B34BC"/>
    <w:rsid w:val="36DF5796"/>
    <w:rsid w:val="377A726D"/>
    <w:rsid w:val="39E135D3"/>
    <w:rsid w:val="4D9F5008"/>
    <w:rsid w:val="504B75A0"/>
    <w:rsid w:val="51823F64"/>
    <w:rsid w:val="55B81234"/>
    <w:rsid w:val="59B85CA7"/>
    <w:rsid w:val="62026362"/>
    <w:rsid w:val="6462123D"/>
    <w:rsid w:val="64FE29DC"/>
    <w:rsid w:val="65AF5D2E"/>
    <w:rsid w:val="6D3B4088"/>
    <w:rsid w:val="6F103A37"/>
    <w:rsid w:val="725E2D0C"/>
    <w:rsid w:val="787E585B"/>
    <w:rsid w:val="7DE76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rPr>
      <w:rFonts w:ascii="Times New Roman" w:hAnsi="Times New Roman" w:eastAsia="宋体" w:cs="Times New Roman"/>
      <w:szCs w:val="24"/>
    </w:rPr>
  </w:style>
  <w:style w:type="paragraph" w:styleId="5">
    <w:name w:val="toc 2"/>
    <w:basedOn w:val="1"/>
    <w:next w:val="1"/>
    <w:qFormat/>
    <w:uiPriority w:val="0"/>
    <w:pPr>
      <w:ind w:left="420" w:leftChars="200"/>
    </w:pPr>
    <w:rPr>
      <w:rFonts w:ascii="Times New Roman" w:hAnsi="Times New Roman" w:eastAsia="宋体" w:cs="Times New Roman"/>
      <w:szCs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41"/>
    <w:basedOn w:val="8"/>
    <w:qFormat/>
    <w:uiPriority w:val="0"/>
    <w:rPr>
      <w:rFonts w:hint="eastAsia" w:ascii="宋体" w:hAnsi="宋体" w:eastAsia="宋体" w:cs="宋体"/>
      <w:color w:val="000000"/>
      <w:sz w:val="18"/>
      <w:szCs w:val="18"/>
      <w:u w:val="none"/>
    </w:rPr>
  </w:style>
  <w:style w:type="character" w:customStyle="1" w:styleId="10">
    <w:name w:val="font121"/>
    <w:basedOn w:val="8"/>
    <w:qFormat/>
    <w:uiPriority w:val="0"/>
    <w:rPr>
      <w:rFonts w:hint="eastAsia" w:ascii="宋体" w:hAnsi="宋体" w:eastAsia="宋体" w:cs="宋体"/>
      <w:color w:val="000000"/>
      <w:sz w:val="20"/>
      <w:szCs w:val="20"/>
      <w:u w:val="none"/>
    </w:rPr>
  </w:style>
  <w:style w:type="character" w:customStyle="1" w:styleId="11">
    <w:name w:val="font131"/>
    <w:basedOn w:val="8"/>
    <w:qFormat/>
    <w:uiPriority w:val="0"/>
    <w:rPr>
      <w:rFonts w:ascii="微软雅黑" w:hAnsi="微软雅黑" w:eastAsia="微软雅黑" w:cs="微软雅黑"/>
      <w:color w:val="000000"/>
      <w:sz w:val="18"/>
      <w:szCs w:val="18"/>
      <w:u w:val="none"/>
    </w:rPr>
  </w:style>
  <w:style w:type="paragraph" w:customStyle="1" w:styleId="12">
    <w:name w:val="一级标题"/>
    <w:basedOn w:val="1"/>
    <w:qFormat/>
    <w:uiPriority w:val="0"/>
    <w:pPr>
      <w:snapToGrid w:val="0"/>
      <w:spacing w:line="360" w:lineRule="auto"/>
      <w:jc w:val="left"/>
      <w:outlineLvl w:val="0"/>
    </w:pPr>
    <w:rPr>
      <w:rFonts w:ascii="宋体" w:hAnsi="宋体" w:eastAsia="宋体"/>
      <w:b/>
      <w:sz w:val="24"/>
    </w:rPr>
  </w:style>
  <w:style w:type="paragraph" w:customStyle="1" w:styleId="13">
    <w:name w:val="章节标题"/>
    <w:basedOn w:val="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paragraph" w:customStyle="1" w:styleId="14">
    <w:name w:val="一级表格标题"/>
    <w:basedOn w:val="12"/>
    <w:qFormat/>
    <w:uiPriority w:val="0"/>
    <w:pPr>
      <w:jc w:val="center"/>
      <w:outlineLvl w:val="9"/>
    </w:pPr>
  </w:style>
  <w:style w:type="paragraph" w:customStyle="1" w:styleId="15">
    <w:name w:val="二级标题"/>
    <w:basedOn w:val="1"/>
    <w:qFormat/>
    <w:uiPriority w:val="0"/>
    <w:pPr>
      <w:snapToGrid w:val="0"/>
      <w:spacing w:line="360" w:lineRule="auto"/>
      <w:outlineLvl w:val="1"/>
    </w:pPr>
    <w:rPr>
      <w:rFonts w:ascii="宋体" w:hAnsi="宋体" w:eastAsia="宋体"/>
      <w:b/>
      <w:szCs w:val="21"/>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12473</Words>
  <Characters>13891</Characters>
  <Lines>0</Lines>
  <Paragraphs>0</Paragraphs>
  <TotalTime>4</TotalTime>
  <ScaleCrop>false</ScaleCrop>
  <LinksUpToDate>false</LinksUpToDate>
  <CharactersWithSpaces>14204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nm</dc:creator>
  <cp:lastModifiedBy>电脑爱好者1401329139</cp:lastModifiedBy>
  <dcterms:modified xsi:type="dcterms:W3CDTF">2022-12-11T06:38:54Z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46E54EF5F646440D8CF0595BC06EF962</vt:lpwstr>
  </property>
</Properties>
</file>